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8"/>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599440</wp:posOffset>
            </wp:positionV>
            <wp:extent cx="7139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69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570865</wp:posOffset>
            </wp:positionV>
            <wp:extent cx="71399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6985"/>
                    </a:xfrm>
                    <a:prstGeom prst="rect">
                      <a:avLst/>
                    </a:prstGeom>
                    <a:noFill/>
                  </pic:spPr>
                </pic:pic>
              </a:graphicData>
            </a:graphic>
          </wp:anchor>
        </w:drawing>
        <w:t>UNITED STATES</w:t>
      </w:r>
    </w:p>
    <w:p>
      <w:pPr>
        <w:spacing w:after="0" w:line="43"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2"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59"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13"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2"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8"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7"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37"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24"/>
          <w:szCs w:val="24"/>
          <w:b w:val="1"/>
          <w:bCs w:val="1"/>
          <w:color w:val="auto"/>
        </w:rPr>
        <w:t>Corteva, Inc.</w:t>
      </w:r>
    </w:p>
    <w:p>
      <w:pPr>
        <w:spacing w:after="0" w:line="41"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83" w:lineRule="exact"/>
        <w:rPr>
          <w:sz w:val="24"/>
          <w:szCs w:val="24"/>
          <w:color w:val="auto"/>
        </w:rPr>
      </w:pPr>
    </w:p>
    <w:tbl>
      <w:tblPr>
        <w:tblLayout w:type="fixed"/>
        <w:tblInd w:w="949" w:type="dxa"/>
        <w:tblCellMar>
          <w:top w:w="0" w:type="dxa"/>
          <w:left w:w="0" w:type="dxa"/>
          <w:bottom w:w="0" w:type="dxa"/>
          <w:right w:w="0" w:type="dxa"/>
        </w:tblCellMar>
      </w:tblPr>
      <w:tr>
        <w:trPr>
          <w:trHeight w:val="196"/>
        </w:trPr>
        <w:tc>
          <w:tcPr>
            <w:tcW w:w="2340" w:type="dxa"/>
            <w:vAlign w:val="bottom"/>
          </w:tcPr>
          <w:p>
            <w:pPr>
              <w:jc w:val="center"/>
              <w:ind w:right="665"/>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480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rPr>
              <w:t>001-38710</w:t>
            </w:r>
          </w:p>
        </w:tc>
        <w:tc>
          <w:tcPr>
            <w:tcW w:w="1980" w:type="dxa"/>
            <w:vAlign w:val="bottom"/>
          </w:tcPr>
          <w:p>
            <w:pPr>
              <w:jc w:val="center"/>
              <w:ind w:left="785"/>
              <w:spacing w:after="0"/>
              <w:rPr>
                <w:sz w:val="20"/>
                <w:szCs w:val="20"/>
                <w:color w:val="auto"/>
              </w:rPr>
            </w:pPr>
            <w:r>
              <w:rPr>
                <w:rFonts w:ascii="Times New Roman" w:cs="Times New Roman" w:eastAsia="Times New Roman" w:hAnsi="Times New Roman"/>
                <w:sz w:val="15"/>
                <w:szCs w:val="15"/>
                <w:b w:val="1"/>
                <w:bCs w:val="1"/>
                <w:color w:val="auto"/>
                <w:w w:val="99"/>
              </w:rPr>
              <w:t>82-4979096</w:t>
            </w:r>
          </w:p>
        </w:tc>
      </w:tr>
      <w:tr>
        <w:trPr>
          <w:trHeight w:val="192"/>
        </w:trPr>
        <w:tc>
          <w:tcPr>
            <w:tcW w:w="2340" w:type="dxa"/>
            <w:vAlign w:val="bottom"/>
          </w:tcPr>
          <w:p>
            <w:pPr>
              <w:jc w:val="center"/>
              <w:ind w:right="685"/>
              <w:spacing w:after="0"/>
              <w:rPr>
                <w:sz w:val="20"/>
                <w:szCs w:val="20"/>
                <w:color w:val="auto"/>
              </w:rPr>
            </w:pPr>
            <w:r>
              <w:rPr>
                <w:rFonts w:ascii="Times New Roman" w:cs="Times New Roman" w:eastAsia="Times New Roman" w:hAnsi="Times New Roman"/>
                <w:sz w:val="15"/>
                <w:szCs w:val="15"/>
                <w:color w:val="auto"/>
              </w:rPr>
              <w:t>(State or other jurisdiction</w:t>
            </w:r>
          </w:p>
        </w:tc>
        <w:tc>
          <w:tcPr>
            <w:tcW w:w="4800" w:type="dxa"/>
            <w:vAlign w:val="bottom"/>
          </w:tcPr>
          <w:p>
            <w:pPr>
              <w:jc w:val="center"/>
              <w:ind w:right="65"/>
              <w:spacing w:after="0"/>
              <w:rPr>
                <w:sz w:val="20"/>
                <w:szCs w:val="20"/>
                <w:color w:val="auto"/>
              </w:rPr>
            </w:pPr>
            <w:r>
              <w:rPr>
                <w:rFonts w:ascii="Times New Roman" w:cs="Times New Roman" w:eastAsia="Times New Roman" w:hAnsi="Times New Roman"/>
                <w:sz w:val="15"/>
                <w:szCs w:val="15"/>
                <w:color w:val="auto"/>
              </w:rPr>
              <w:t>(Commission</w:t>
            </w:r>
          </w:p>
        </w:tc>
        <w:tc>
          <w:tcPr>
            <w:tcW w:w="1980" w:type="dxa"/>
            <w:vAlign w:val="bottom"/>
          </w:tcPr>
          <w:p>
            <w:pPr>
              <w:jc w:val="center"/>
              <w:ind w:left="785"/>
              <w:spacing w:after="0"/>
              <w:rPr>
                <w:sz w:val="20"/>
                <w:szCs w:val="20"/>
                <w:color w:val="auto"/>
              </w:rPr>
            </w:pPr>
            <w:r>
              <w:rPr>
                <w:rFonts w:ascii="Times New Roman" w:cs="Times New Roman" w:eastAsia="Times New Roman" w:hAnsi="Times New Roman"/>
                <w:sz w:val="15"/>
                <w:szCs w:val="15"/>
                <w:color w:val="auto"/>
              </w:rPr>
              <w:t>(I.R.S. Employer</w:t>
            </w:r>
          </w:p>
        </w:tc>
      </w:tr>
      <w:tr>
        <w:trPr>
          <w:trHeight w:val="196"/>
        </w:trPr>
        <w:tc>
          <w:tcPr>
            <w:tcW w:w="2340" w:type="dxa"/>
            <w:vAlign w:val="bottom"/>
          </w:tcPr>
          <w:p>
            <w:pPr>
              <w:jc w:val="center"/>
              <w:ind w:right="665"/>
              <w:spacing w:after="0"/>
              <w:rPr>
                <w:sz w:val="20"/>
                <w:szCs w:val="20"/>
                <w:color w:val="auto"/>
              </w:rPr>
            </w:pPr>
            <w:r>
              <w:rPr>
                <w:rFonts w:ascii="Times New Roman" w:cs="Times New Roman" w:eastAsia="Times New Roman" w:hAnsi="Times New Roman"/>
                <w:sz w:val="15"/>
                <w:szCs w:val="15"/>
                <w:color w:val="auto"/>
              </w:rPr>
              <w:t>of Incorporation)</w:t>
            </w:r>
          </w:p>
        </w:tc>
        <w:tc>
          <w:tcPr>
            <w:tcW w:w="4800" w:type="dxa"/>
            <w:vAlign w:val="bottom"/>
          </w:tcPr>
          <w:p>
            <w:pPr>
              <w:jc w:val="center"/>
              <w:ind w:right="65"/>
              <w:spacing w:after="0"/>
              <w:rPr>
                <w:sz w:val="20"/>
                <w:szCs w:val="20"/>
                <w:color w:val="auto"/>
              </w:rPr>
            </w:pPr>
            <w:r>
              <w:rPr>
                <w:rFonts w:ascii="Times New Roman" w:cs="Times New Roman" w:eastAsia="Times New Roman" w:hAnsi="Times New Roman"/>
                <w:sz w:val="15"/>
                <w:szCs w:val="15"/>
                <w:color w:val="auto"/>
              </w:rPr>
              <w:t>File Number)</w:t>
            </w:r>
          </w:p>
        </w:tc>
        <w:tc>
          <w:tcPr>
            <w:tcW w:w="1980" w:type="dxa"/>
            <w:vAlign w:val="bottom"/>
          </w:tcPr>
          <w:p>
            <w:pPr>
              <w:jc w:val="center"/>
              <w:ind w:left="785"/>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422"/>
        </w:trPr>
        <w:tc>
          <w:tcPr>
            <w:tcW w:w="2340" w:type="dxa"/>
            <w:vAlign w:val="bottom"/>
          </w:tcPr>
          <w:p>
            <w:pPr>
              <w:spacing w:after="0"/>
              <w:rPr>
                <w:sz w:val="24"/>
                <w:szCs w:val="24"/>
                <w:color w:val="auto"/>
              </w:rPr>
            </w:pPr>
          </w:p>
        </w:tc>
        <w:tc>
          <w:tcPr>
            <w:tcW w:w="48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9330 Zionsville Road,</w:t>
            </w:r>
          </w:p>
        </w:tc>
        <w:tc>
          <w:tcPr>
            <w:tcW w:w="1980" w:type="dxa"/>
            <w:vAlign w:val="bottom"/>
          </w:tcPr>
          <w:p>
            <w:pPr>
              <w:spacing w:after="0"/>
              <w:rPr>
                <w:sz w:val="24"/>
                <w:szCs w:val="24"/>
                <w:color w:val="auto"/>
              </w:rPr>
            </w:pPr>
          </w:p>
        </w:tc>
      </w:tr>
      <w:tr>
        <w:trPr>
          <w:trHeight w:val="181"/>
        </w:trPr>
        <w:tc>
          <w:tcPr>
            <w:tcW w:w="2340" w:type="dxa"/>
            <w:vAlign w:val="bottom"/>
          </w:tcPr>
          <w:p>
            <w:pPr>
              <w:spacing w:after="0"/>
              <w:rPr>
                <w:sz w:val="15"/>
                <w:szCs w:val="15"/>
                <w:color w:val="auto"/>
              </w:rPr>
            </w:pPr>
          </w:p>
        </w:tc>
        <w:tc>
          <w:tcPr>
            <w:tcW w:w="480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Indianapolis, Indiana 46268</w:t>
            </w:r>
          </w:p>
        </w:tc>
        <w:tc>
          <w:tcPr>
            <w:tcW w:w="1980" w:type="dxa"/>
            <w:vAlign w:val="bottom"/>
          </w:tcPr>
          <w:p>
            <w:pPr>
              <w:spacing w:after="0"/>
              <w:rPr>
                <w:sz w:val="15"/>
                <w:szCs w:val="15"/>
                <w:color w:val="auto"/>
              </w:rPr>
            </w:pPr>
          </w:p>
        </w:tc>
      </w:tr>
      <w:tr>
        <w:trPr>
          <w:trHeight w:val="181"/>
        </w:trPr>
        <w:tc>
          <w:tcPr>
            <w:tcW w:w="2340" w:type="dxa"/>
            <w:vAlign w:val="bottom"/>
          </w:tcPr>
          <w:p>
            <w:pPr>
              <w:spacing w:after="0"/>
              <w:rPr>
                <w:sz w:val="15"/>
                <w:szCs w:val="15"/>
                <w:color w:val="auto"/>
              </w:rPr>
            </w:pPr>
          </w:p>
        </w:tc>
        <w:tc>
          <w:tcPr>
            <w:tcW w:w="480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1000 N. West Street, Suite 900,</w:t>
            </w:r>
          </w:p>
        </w:tc>
        <w:tc>
          <w:tcPr>
            <w:tcW w:w="1980" w:type="dxa"/>
            <w:vAlign w:val="bottom"/>
          </w:tcPr>
          <w:p>
            <w:pPr>
              <w:spacing w:after="0"/>
              <w:rPr>
                <w:sz w:val="15"/>
                <w:szCs w:val="15"/>
                <w:color w:val="auto"/>
              </w:rPr>
            </w:pPr>
          </w:p>
        </w:tc>
      </w:tr>
      <w:tr>
        <w:trPr>
          <w:trHeight w:val="185"/>
        </w:trPr>
        <w:tc>
          <w:tcPr>
            <w:tcW w:w="2340" w:type="dxa"/>
            <w:vAlign w:val="bottom"/>
          </w:tcPr>
          <w:p>
            <w:pPr>
              <w:spacing w:after="0"/>
              <w:rPr>
                <w:sz w:val="16"/>
                <w:szCs w:val="16"/>
                <w:color w:val="auto"/>
              </w:rPr>
            </w:pPr>
          </w:p>
        </w:tc>
        <w:tc>
          <w:tcPr>
            <w:tcW w:w="480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Wilmington, Delaware 19801</w:t>
            </w:r>
          </w:p>
        </w:tc>
        <w:tc>
          <w:tcPr>
            <w:tcW w:w="1980" w:type="dxa"/>
            <w:vAlign w:val="bottom"/>
          </w:tcPr>
          <w:p>
            <w:pPr>
              <w:spacing w:after="0"/>
              <w:rPr>
                <w:sz w:val="16"/>
                <w:szCs w:val="16"/>
                <w:color w:val="auto"/>
              </w:rPr>
            </w:pPr>
          </w:p>
        </w:tc>
      </w:tr>
      <w:tr>
        <w:trPr>
          <w:trHeight w:val="196"/>
        </w:trPr>
        <w:tc>
          <w:tcPr>
            <w:tcW w:w="2340" w:type="dxa"/>
            <w:vAlign w:val="bottom"/>
          </w:tcPr>
          <w:p>
            <w:pPr>
              <w:spacing w:after="0"/>
              <w:rPr>
                <w:sz w:val="17"/>
                <w:szCs w:val="17"/>
                <w:color w:val="auto"/>
              </w:rPr>
            </w:pPr>
          </w:p>
        </w:tc>
        <w:tc>
          <w:tcPr>
            <w:tcW w:w="48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rPr>
              <w:t>(Address of principal executive offices)(Zip Code)</w:t>
            </w:r>
          </w:p>
        </w:tc>
        <w:tc>
          <w:tcPr>
            <w:tcW w:w="1980" w:type="dxa"/>
            <w:vAlign w:val="bottom"/>
          </w:tcPr>
          <w:p>
            <w:pPr>
              <w:spacing w:after="0"/>
              <w:rPr>
                <w:sz w:val="17"/>
                <w:szCs w:val="17"/>
                <w:color w:val="auto"/>
              </w:rPr>
            </w:pPr>
          </w:p>
        </w:tc>
      </w:tr>
      <w:tr>
        <w:trPr>
          <w:trHeight w:val="347"/>
        </w:trPr>
        <w:tc>
          <w:tcPr>
            <w:tcW w:w="2340" w:type="dxa"/>
            <w:vAlign w:val="bottom"/>
          </w:tcPr>
          <w:p>
            <w:pPr>
              <w:spacing w:after="0"/>
              <w:rPr>
                <w:sz w:val="24"/>
                <w:szCs w:val="24"/>
                <w:color w:val="auto"/>
              </w:rPr>
            </w:pPr>
          </w:p>
        </w:tc>
        <w:tc>
          <w:tcPr>
            <w:tcW w:w="48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(833) 267-8382</w:t>
            </w:r>
          </w:p>
        </w:tc>
        <w:tc>
          <w:tcPr>
            <w:tcW w:w="1980" w:type="dxa"/>
            <w:vAlign w:val="bottom"/>
          </w:tcPr>
          <w:p>
            <w:pPr>
              <w:spacing w:after="0"/>
              <w:rPr>
                <w:sz w:val="24"/>
                <w:szCs w:val="24"/>
                <w:color w:val="auto"/>
              </w:rPr>
            </w:pPr>
          </w:p>
        </w:tc>
      </w:tr>
      <w:tr>
        <w:trPr>
          <w:trHeight w:val="196"/>
        </w:trPr>
        <w:tc>
          <w:tcPr>
            <w:tcW w:w="2340" w:type="dxa"/>
            <w:vAlign w:val="bottom"/>
          </w:tcPr>
          <w:p>
            <w:pPr>
              <w:spacing w:after="0"/>
              <w:rPr>
                <w:sz w:val="17"/>
                <w:szCs w:val="17"/>
                <w:color w:val="auto"/>
              </w:rPr>
            </w:pPr>
          </w:p>
        </w:tc>
        <w:tc>
          <w:tcPr>
            <w:tcW w:w="48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1980" w:type="dxa"/>
            <w:vAlign w:val="bottom"/>
          </w:tcPr>
          <w:p>
            <w:pPr>
              <w:spacing w:after="0"/>
              <w:rPr>
                <w:sz w:val="17"/>
                <w:szCs w:val="17"/>
                <w:color w:val="auto"/>
              </w:rPr>
            </w:pPr>
          </w:p>
        </w:tc>
      </w:tr>
    </w:tbl>
    <w:p>
      <w:pPr>
        <w:spacing w:after="0" w:line="166"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309" w:hanging="309"/>
        <w:spacing w:after="0"/>
        <w:tabs>
          <w:tab w:leader="none" w:pos="30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89" w:lineRule="exact"/>
        <w:rPr>
          <w:rFonts w:ascii="MS PGothic" w:cs="MS PGothic" w:eastAsia="MS PGothic" w:hAnsi="MS PGothic"/>
          <w:sz w:val="15"/>
          <w:szCs w:val="15"/>
          <w:color w:val="auto"/>
        </w:rPr>
      </w:pPr>
    </w:p>
    <w:p>
      <w:pPr>
        <w:ind w:left="289" w:hanging="289"/>
        <w:spacing w:after="0"/>
        <w:tabs>
          <w:tab w:leader="none" w:pos="28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89" w:lineRule="exact"/>
        <w:rPr>
          <w:rFonts w:ascii="MS PGothic" w:cs="MS PGothic" w:eastAsia="MS PGothic" w:hAnsi="MS PGothic"/>
          <w:sz w:val="15"/>
          <w:szCs w:val="15"/>
          <w:color w:val="auto"/>
        </w:rPr>
      </w:pPr>
    </w:p>
    <w:p>
      <w:pPr>
        <w:ind w:left="289" w:hanging="289"/>
        <w:spacing w:after="0"/>
        <w:tabs>
          <w:tab w:leader="none" w:pos="28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12" w:lineRule="exact"/>
        <w:rPr>
          <w:rFonts w:ascii="MS PGothic" w:cs="MS PGothic" w:eastAsia="MS PGothic" w:hAnsi="MS PGothic"/>
          <w:sz w:val="15"/>
          <w:szCs w:val="15"/>
          <w:color w:val="auto"/>
        </w:rPr>
      </w:pPr>
    </w:p>
    <w:p>
      <w:pPr>
        <w:ind w:left="9" w:right="4160" w:hanging="9"/>
        <w:spacing w:after="0" w:line="496" w:lineRule="auto"/>
        <w:tabs>
          <w:tab w:leader="none" w:pos="29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 Securities registered pursuant to Section 12(b) of the Act:</w:t>
      </w:r>
    </w:p>
    <w:tbl>
      <w:tblPr>
        <w:tblLayout w:type="fixed"/>
        <w:tblInd w:w="1769" w:type="dxa"/>
        <w:tblCellMar>
          <w:top w:w="0" w:type="dxa"/>
          <w:left w:w="0" w:type="dxa"/>
          <w:bottom w:w="0" w:type="dxa"/>
          <w:right w:w="0" w:type="dxa"/>
        </w:tblCellMar>
      </w:tblPr>
      <w:tr>
        <w:trPr>
          <w:trHeight w:val="140"/>
        </w:trPr>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40" w:type="dxa"/>
            <w:vAlign w:val="bottom"/>
            <w:vMerge w:val="restart"/>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140" w:type="dxa"/>
            <w:vAlign w:val="bottom"/>
            <w:vMerge w:val="restart"/>
          </w:tcPr>
          <w:p>
            <w:pPr>
              <w:spacing w:after="0"/>
              <w:rPr>
                <w:sz w:val="12"/>
                <w:szCs w:val="12"/>
                <w:color w:val="auto"/>
              </w:rPr>
            </w:pPr>
          </w:p>
        </w:tc>
        <w:tc>
          <w:tcPr>
            <w:tcW w:w="25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Name of each exchange on which</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registered</w:t>
            </w:r>
          </w:p>
        </w:tc>
        <w:tc>
          <w:tcPr>
            <w:tcW w:w="0" w:type="dxa"/>
            <w:vAlign w:val="bottom"/>
          </w:tcPr>
          <w:p>
            <w:pPr>
              <w:spacing w:after="0"/>
              <w:rPr>
                <w:sz w:val="1"/>
                <w:szCs w:val="1"/>
                <w:color w:val="auto"/>
              </w:rPr>
            </w:pPr>
          </w:p>
        </w:tc>
      </w:tr>
      <w:tr>
        <w:trPr>
          <w:trHeight w:val="191"/>
        </w:trPr>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Common Stock, par value $0.01 per share</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0"/>
              </w:rPr>
              <w:t>CTVA</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New York Stock Exchange</w:t>
            </w:r>
          </w:p>
        </w:tc>
        <w:tc>
          <w:tcPr>
            <w:tcW w:w="0" w:type="dxa"/>
            <w:vAlign w:val="bottom"/>
          </w:tcPr>
          <w:p>
            <w:pPr>
              <w:spacing w:after="0"/>
              <w:rPr>
                <w:sz w:val="1"/>
                <w:szCs w:val="1"/>
                <w:color w:val="auto"/>
              </w:rPr>
            </w:pPr>
          </w:p>
        </w:tc>
      </w:tr>
    </w:tbl>
    <w:p>
      <w:pPr>
        <w:spacing w:after="0" w:line="274" w:lineRule="exact"/>
        <w:rPr>
          <w:sz w:val="24"/>
          <w:szCs w:val="24"/>
          <w:color w:val="auto"/>
        </w:rPr>
      </w:pPr>
    </w:p>
    <w:p>
      <w:pPr>
        <w:ind w:left="9" w:right="400"/>
        <w:spacing w:after="0" w:line="285"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3"/>
          <w:szCs w:val="13"/>
          <w:color w:val="auto"/>
        </w:rPr>
        <w:t>☐</w:t>
      </w:r>
    </w:p>
    <w:p>
      <w:pPr>
        <w:spacing w:after="0" w:line="183" w:lineRule="exact"/>
        <w:rPr>
          <w:sz w:val="24"/>
          <w:szCs w:val="24"/>
          <w:color w:val="auto"/>
        </w:rPr>
      </w:pPr>
    </w:p>
    <w:p>
      <w:pPr>
        <w:ind w:left="9"/>
        <w:spacing w:after="0" w:line="28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534670</wp:posOffset>
            </wp:positionV>
            <wp:extent cx="717994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9945" cy="400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wp:posOffset>
            </wp:positionV>
            <wp:extent cx="71399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wp:posOffset>
            </wp:positionV>
            <wp:extent cx="71399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ectPr>
          <w:pgSz w:w="11900" w:h="16838" w:orient="portrait"/>
          <w:cols w:equalWidth="0" w:num="1">
            <w:col w:w="11189"/>
          </w:cols>
          <w:pgMar w:left="311" w:top="1005" w:right="399" w:bottom="1440" w:gutter="0" w:footer="0" w:header="0"/>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auto"/>
        </w:rPr>
        <w:t>Item 2.02</w:t>
        <w:tab/>
        <w:t>Results of Operations and Financial Condition</w:t>
      </w:r>
    </w:p>
    <w:p>
      <w:pPr>
        <w:spacing w:after="0" w:line="81" w:lineRule="exact"/>
        <w:rPr>
          <w:sz w:val="20"/>
          <w:szCs w:val="20"/>
          <w:color w:val="auto"/>
        </w:rPr>
      </w:pPr>
    </w:p>
    <w:p>
      <w:pPr>
        <w:jc w:val="both"/>
        <w:ind w:firstLine="544"/>
        <w:spacing w:after="0" w:line="260" w:lineRule="auto"/>
        <w:rPr>
          <w:sz w:val="20"/>
          <w:szCs w:val="20"/>
          <w:color w:val="auto"/>
        </w:rPr>
      </w:pPr>
      <w:r>
        <w:rPr>
          <w:rFonts w:ascii="Times New Roman" w:cs="Times New Roman" w:eastAsia="Times New Roman" w:hAnsi="Times New Roman"/>
          <w:sz w:val="15"/>
          <w:szCs w:val="15"/>
          <w:color w:val="auto"/>
        </w:rPr>
        <w:t>On May 5, 2026, Corteva, Inc. (the “Company”) announced its consolidated financial results for the quarter ended March 31, 2026. A copy of the Company’s press release and financial statement schedules are furnished herewith on Form 8-K as Exhibits 99.1 and 99.2, respectively. The information contained in this report, including Exhibits 99.1 and 99.2, is being furnished and shall not be deemed “filed” for purposes of Section 18 of the Securities Exchange Act of 1934, as amended (the “Exchange Act”), or otherwise subject to the liability of that section. In addition, the information contained in this report shall not be deemed to be incorporated by reference into any registration statement or other document filed by the Company under the Securities Act of 1933, as amended, or the Exchange Act except as expressly set forth by specific reference in such filing.</w:t>
      </w: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auto"/>
        </w:rPr>
        <w:t>Item 9.01</w:t>
        <w:tab/>
        <w:t>Financial Statements and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  Exhibits.</w:t>
            </w:r>
          </w:p>
        </w:tc>
        <w:tc>
          <w:tcPr>
            <w:tcW w:w="10200" w:type="dxa"/>
            <w:vAlign w:val="bottom"/>
          </w:tcPr>
          <w:p>
            <w:pPr>
              <w:spacing w:after="0"/>
              <w:rPr>
                <w:sz w:val="17"/>
                <w:szCs w:val="17"/>
                <w:color w:val="auto"/>
              </w:rPr>
            </w:pPr>
          </w:p>
        </w:tc>
      </w:tr>
      <w:tr>
        <w:trPr>
          <w:trHeight w:val="248"/>
        </w:trPr>
        <w:tc>
          <w:tcPr>
            <w:tcW w:w="760" w:type="dxa"/>
            <w:vAlign w:val="bottom"/>
            <w:gridSpan w:val="2"/>
          </w:tcPr>
          <w:p>
            <w:pPr>
              <w:jc w:val="center"/>
              <w:ind w:left="425"/>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300" w:type="dxa"/>
            <w:vAlign w:val="bottom"/>
          </w:tcPr>
          <w:p>
            <w:pPr>
              <w:spacing w:after="0"/>
              <w:rPr>
                <w:sz w:val="21"/>
                <w:szCs w:val="21"/>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Press Release dated May 5, 2026</w:t>
            </w: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r>
      <w:tr>
        <w:trPr>
          <w:trHeight w:val="172"/>
        </w:trPr>
        <w:tc>
          <w:tcPr>
            <w:tcW w:w="760" w:type="dxa"/>
            <w:vAlign w:val="bottom"/>
            <w:gridSpan w:val="2"/>
          </w:tcPr>
          <w:p>
            <w:pPr>
              <w:jc w:val="center"/>
              <w:ind w:left="425"/>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2</w:t>
            </w:r>
          </w:p>
        </w:tc>
        <w:tc>
          <w:tcPr>
            <w:tcW w:w="300" w:type="dxa"/>
            <w:vAlign w:val="bottom"/>
          </w:tcPr>
          <w:p>
            <w:pPr>
              <w:spacing w:after="0"/>
              <w:rPr>
                <w:sz w:val="15"/>
                <w:szCs w:val="15"/>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Financial Statement Schedules dated May 5, 2026</w:t>
            </w:r>
          </w:p>
        </w:tc>
      </w:tr>
      <w:tr>
        <w:trPr>
          <w:trHeight w:val="207"/>
        </w:trPr>
        <w:tc>
          <w:tcPr>
            <w:tcW w:w="500" w:type="dxa"/>
            <w:vAlign w:val="bottom"/>
          </w:tcPr>
          <w:p>
            <w:pPr>
              <w:spacing w:after="0"/>
              <w:rPr>
                <w:sz w:val="18"/>
                <w:szCs w:val="18"/>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5"/>
                <w:szCs w:val="15"/>
                <w:color w:val="auto"/>
                <w:w w:val="97"/>
              </w:rPr>
              <w:t>104</w:t>
            </w:r>
          </w:p>
        </w:tc>
        <w:tc>
          <w:tcPr>
            <w:tcW w:w="300" w:type="dxa"/>
            <w:vAlign w:val="bottom"/>
          </w:tcPr>
          <w:p>
            <w:pPr>
              <w:spacing w:after="0"/>
              <w:rPr>
                <w:sz w:val="18"/>
                <w:szCs w:val="18"/>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The cover page from the Company’s Current Report on Form 8-K, formatted in Inline XBRL</w:t>
            </w:r>
          </w:p>
        </w:tc>
      </w:tr>
      <w:tr>
        <w:trPr>
          <w:trHeight w:val="2142"/>
        </w:trPr>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46" w:right="31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5"/>
          <w:szCs w:val="15"/>
          <w:color w:val="auto"/>
        </w:rPr>
        <w:t>SIGNATURE</w:t>
      </w:r>
    </w:p>
    <w:p>
      <w:pPr>
        <w:spacing w:after="0" w:line="190" w:lineRule="exact"/>
        <w:rPr>
          <w:sz w:val="20"/>
          <w:szCs w:val="20"/>
          <w:color w:val="auto"/>
        </w:rPr>
      </w:pPr>
    </w:p>
    <w:p>
      <w:pPr>
        <w:ind w:firstLine="272"/>
        <w:spacing w:after="0" w:line="28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5"/>
          <w:szCs w:val="15"/>
          <w:color w:val="auto"/>
        </w:rPr>
        <w:t>Corteva, Inc.</w:t>
      </w:r>
    </w:p>
    <w:p>
      <w:pPr>
        <w:spacing w:after="0" w:line="2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5"/>
          <w:szCs w:val="15"/>
          <w:color w:val="auto"/>
        </w:rPr>
        <w:t>(Registrant)</w:t>
      </w:r>
    </w:p>
    <w:p>
      <w:pPr>
        <w:spacing w:after="0" w:line="20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5"/>
          <w:szCs w:val="15"/>
          <w:color w:val="auto"/>
        </w:rPr>
        <w:t>/s/ Brian Titus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14605</wp:posOffset>
            </wp:positionV>
            <wp:extent cx="35661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6985"/>
                    </a:xfrm>
                    <a:prstGeom prst="rect">
                      <a:avLst/>
                    </a:prstGeom>
                    <a:noFill/>
                  </pic:spPr>
                </pic:pic>
              </a:graphicData>
            </a:graphic>
          </wp:anchor>
        </w:drawing>
      </w:r>
    </w:p>
    <w:p>
      <w:pPr>
        <w:spacing w:after="0" w:line="193"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5"/>
          <w:szCs w:val="15"/>
          <w:color w:val="auto"/>
        </w:rPr>
        <w:t>Brian Titus</w:t>
      </w:r>
    </w:p>
    <w:p>
      <w:pPr>
        <w:spacing w:after="0" w:line="24"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5"/>
          <w:szCs w:val="15"/>
          <w:color w:val="auto"/>
        </w:rPr>
        <w:t>Vice President and Controller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5, 2026</w:t>
      </w:r>
    </w:p>
    <w:p>
      <w:pPr>
        <w:sectPr>
          <w:pgSz w:w="11900" w:h="16838" w:orient="portrait"/>
          <w:cols w:equalWidth="0" w:num="1">
            <w:col w:w="10580"/>
          </w:cols>
          <w:pgMar w:left="320" w:top="770" w:right="9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318770</wp:posOffset>
            </wp:positionV>
            <wp:extent cx="7094855" cy="9961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4855" cy="9961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448310</wp:posOffset>
            </wp:positionV>
            <wp:extent cx="7094855" cy="9961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4855" cy="9961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448310</wp:posOffset>
            </wp:positionV>
            <wp:extent cx="7094855" cy="9961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4855" cy="9961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448310</wp:posOffset>
            </wp:positionV>
            <wp:extent cx="7094855" cy="9982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4855" cy="9982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448310</wp:posOffset>
            </wp:positionV>
            <wp:extent cx="7094855" cy="9982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4855" cy="9982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A-1</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6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78"/>
        </w:trPr>
        <w:tc>
          <w:tcPr>
            <w:tcW w:w="864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4,905</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4,417</w:t>
            </w:r>
          </w:p>
        </w:tc>
      </w:tr>
      <w:tr>
        <w:trPr>
          <w:trHeight w:val="179"/>
        </w:trPr>
        <w:tc>
          <w:tcPr>
            <w:tcW w:w="8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goods sold</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r>
      <w:tr>
        <w:trPr>
          <w:trHeight w:val="184"/>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79"/>
        </w:trPr>
        <w:tc>
          <w:tcPr>
            <w:tcW w:w="8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r>
      <w:tr>
        <w:trPr>
          <w:trHeight w:val="184"/>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79"/>
        </w:trPr>
        <w:tc>
          <w:tcPr>
            <w:tcW w:w="8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Restructuring and asset related charges - net</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4"/>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Separation costs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8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income (expense) - net</w:t>
            </w:r>
          </w:p>
        </w:tc>
        <w:tc>
          <w:tcPr>
            <w:tcW w:w="800" w:type="dxa"/>
            <w:vAlign w:val="bottom"/>
          </w:tcPr>
          <w:p>
            <w:pPr>
              <w:spacing w:after="0"/>
              <w:rPr>
                <w:sz w:val="15"/>
                <w:szCs w:val="15"/>
                <w:color w:val="auto"/>
              </w:rPr>
            </w:pPr>
          </w:p>
        </w:tc>
        <w:tc>
          <w:tcPr>
            <w:tcW w:w="4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(117)</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4"/>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income taxes</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784</w:t>
            </w:r>
          </w:p>
        </w:tc>
      </w:tr>
      <w:tr>
        <w:trPr>
          <w:trHeight w:val="182"/>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(benefit from) income taxes on continuing operations</w:t>
            </w:r>
          </w:p>
        </w:tc>
        <w:tc>
          <w:tcPr>
            <w:tcW w:w="8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71"/>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after income taxes</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667</w:t>
            </w:r>
          </w:p>
        </w:tc>
      </w:tr>
      <w:tr>
        <w:trPr>
          <w:trHeight w:val="182"/>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from discontinued operations after income taxes</w:t>
            </w:r>
          </w:p>
        </w:tc>
        <w:tc>
          <w:tcPr>
            <w:tcW w:w="8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r>
      <w:tr>
        <w:trPr>
          <w:trHeight w:val="126"/>
        </w:trPr>
        <w:tc>
          <w:tcPr>
            <w:tcW w:w="86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79"/>
        </w:trPr>
        <w:tc>
          <w:tcPr>
            <w:tcW w:w="8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07"/>
        </w:trPr>
        <w:tc>
          <w:tcPr>
            <w:tcW w:w="86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181"/>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Corteva</w:t>
            </w:r>
          </w:p>
        </w:tc>
        <w:tc>
          <w:tcPr>
            <w:tcW w:w="8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652</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7"/>
        </w:trPr>
        <w:tc>
          <w:tcPr>
            <w:tcW w:w="86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80"/>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earnings (loss) per share of common stock:</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earnings (loss) per share of common stock from continuing operations</w:t>
            </w:r>
          </w:p>
        </w:tc>
        <w:tc>
          <w:tcPr>
            <w:tcW w:w="80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r>
      <w:tr>
        <w:trPr>
          <w:trHeight w:val="179"/>
        </w:trPr>
        <w:tc>
          <w:tcPr>
            <w:tcW w:w="8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earnings (loss) per share of common stock from discontinued operations</w:t>
            </w:r>
          </w:p>
        </w:tc>
        <w:tc>
          <w:tcPr>
            <w:tcW w:w="8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00"/>
        </w:trPr>
        <w:tc>
          <w:tcPr>
            <w:tcW w:w="86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Basic earnings (loss) per share of common stock</w:t>
            </w: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67"/>
        </w:trPr>
        <w:tc>
          <w:tcPr>
            <w:tcW w:w="8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8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Diluted earnings (loss) per share of common stock:</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9"/>
        </w:trPr>
        <w:tc>
          <w:tcPr>
            <w:tcW w:w="8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 earnings (loss) per share of common stock from continuing operations</w:t>
            </w:r>
          </w:p>
        </w:tc>
        <w:tc>
          <w:tcPr>
            <w:tcW w:w="80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r>
      <w:tr>
        <w:trPr>
          <w:trHeight w:val="181"/>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 earnings (loss) per share of common stock from discontinued operations</w:t>
            </w:r>
          </w:p>
        </w:tc>
        <w:tc>
          <w:tcPr>
            <w:tcW w:w="8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75"/>
        </w:trPr>
        <w:tc>
          <w:tcPr>
            <w:tcW w:w="8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Diluted earnings (loss) per share of common stock</w:t>
            </w:r>
          </w:p>
        </w:tc>
        <w:tc>
          <w:tcPr>
            <w:tcW w:w="8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0.95</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7"/>
        </w:trPr>
        <w:tc>
          <w:tcPr>
            <w:tcW w:w="86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80"/>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Average number of shares outstanding used in earnings (loss) per share (EPS) calculation (in millions)</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w w:val="95"/>
              </w:rPr>
              <w:t>672.5</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w:t>
            </w:r>
          </w:p>
        </w:tc>
      </w:tr>
      <w:tr>
        <w:trPr>
          <w:trHeight w:val="176"/>
        </w:trPr>
        <w:tc>
          <w:tcPr>
            <w:tcW w:w="8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800" w:type="dxa"/>
            <w:vAlign w:val="bottom"/>
          </w:tcPr>
          <w:p>
            <w:pPr>
              <w:spacing w:after="0"/>
              <w:rPr>
                <w:sz w:val="15"/>
                <w:szCs w:val="15"/>
                <w:color w:val="auto"/>
              </w:rPr>
            </w:pPr>
          </w:p>
        </w:tc>
        <w:tc>
          <w:tcPr>
            <w:tcW w:w="4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5"/>
              </w:rPr>
              <w:t>673.6</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686.6</w:t>
            </w:r>
          </w:p>
        </w:tc>
      </w:tr>
    </w:tbl>
    <w:p>
      <w:pPr>
        <w:sectPr>
          <w:pgSz w:w="11900" w:h="16838" w:orient="portrait"/>
          <w:cols w:equalWidth="0" w:num="1">
            <w:col w:w="11260"/>
          </w:cols>
          <w:pgMar w:left="320" w:top="125"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A-2</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share amounts)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14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64"/>
        </w:trPr>
        <w:tc>
          <w:tcPr>
            <w:tcW w:w="2300" w:type="dxa"/>
            <w:vAlign w:val="bottom"/>
            <w:tcBorders>
              <w:top w:val="single" w:sz="8" w:color="CCEEFF"/>
            </w:tcBorders>
            <w:shd w:val="clear" w:color="auto" w:fill="CCEEFF"/>
          </w:tcPr>
          <w:p>
            <w:pPr>
              <w:spacing w:after="0"/>
              <w:rPr>
                <w:sz w:val="14"/>
                <w:szCs w:val="14"/>
                <w:color w:val="auto"/>
              </w:rPr>
            </w:pPr>
          </w:p>
        </w:tc>
        <w:tc>
          <w:tcPr>
            <w:tcW w:w="33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80"/>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2"/>
        </w:trPr>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720" w:type="dxa"/>
            <w:vAlign w:val="bottom"/>
            <w:gridSpan w:val="2"/>
            <w:shd w:val="clear" w:color="auto" w:fill="CCEEFF"/>
          </w:tcPr>
          <w:p>
            <w:pPr>
              <w:jc w:val="right"/>
              <w:ind w:right="11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r>
      <w:tr>
        <w:trPr>
          <w:trHeight w:val="179"/>
        </w:trPr>
        <w:tc>
          <w:tcPr>
            <w:tcW w:w="2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securities</w:t>
            </w:r>
          </w:p>
        </w:tc>
        <w:tc>
          <w:tcPr>
            <w:tcW w:w="3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4"/>
        </w:trPr>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and notes receivable - net</w:t>
            </w:r>
          </w:p>
        </w:tc>
        <w:tc>
          <w:tcPr>
            <w:tcW w:w="3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179"/>
        </w:trPr>
        <w:tc>
          <w:tcPr>
            <w:tcW w:w="2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3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r>
      <w:tr>
        <w:trPr>
          <w:trHeight w:val="181"/>
        </w:trPr>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338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17,385</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17,335</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16,587</w:t>
            </w: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nonconsolidated affiliates</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79"/>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1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0" w:type="dxa"/>
            <w:vAlign w:val="bottom"/>
          </w:tcPr>
          <w:p>
            <w:pPr>
              <w:spacing w:after="0"/>
              <w:rPr>
                <w:sz w:val="1"/>
                <w:szCs w:val="1"/>
                <w:color w:val="auto"/>
              </w:rPr>
            </w:pPr>
          </w:p>
        </w:tc>
      </w:tr>
      <w:tr>
        <w:trPr>
          <w:trHeight w:val="170"/>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0" w:type="dxa"/>
            <w:vAlign w:val="bottom"/>
          </w:tcPr>
          <w:p>
            <w:pPr>
              <w:spacing w:after="0"/>
              <w:rPr>
                <w:sz w:val="1"/>
                <w:szCs w:val="1"/>
                <w:color w:val="auto"/>
              </w:rPr>
            </w:pPr>
          </w:p>
        </w:tc>
      </w:tr>
      <w:tr>
        <w:trPr>
          <w:trHeight w:val="17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10,409</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10,332</w:t>
            </w:r>
          </w:p>
        </w:tc>
        <w:tc>
          <w:tcPr>
            <w:tcW w:w="0" w:type="dxa"/>
            <w:vAlign w:val="bottom"/>
          </w:tcPr>
          <w:p>
            <w:pPr>
              <w:spacing w:after="0"/>
              <w:rPr>
                <w:sz w:val="1"/>
                <w:szCs w:val="1"/>
                <w:color w:val="auto"/>
              </w:rPr>
            </w:pPr>
          </w:p>
        </w:tc>
      </w:tr>
      <w:tr>
        <w:trPr>
          <w:trHeight w:val="179"/>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79"/>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8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42,717</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42,845</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42,123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8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borrowings</w:t>
            </w:r>
          </w:p>
        </w:tc>
        <w:tc>
          <w:tcPr>
            <w:tcW w:w="68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0" w:type="dxa"/>
            <w:vAlign w:val="bottom"/>
          </w:tcPr>
          <w:p>
            <w:pPr>
              <w:spacing w:after="0"/>
              <w:rPr>
                <w:sz w:val="1"/>
                <w:szCs w:val="1"/>
                <w:color w:val="auto"/>
              </w:rPr>
            </w:pPr>
          </w:p>
        </w:tc>
      </w:tr>
      <w:tr>
        <w:trPr>
          <w:trHeight w:val="179"/>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 payable</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79"/>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1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0" w:type="dxa"/>
            <w:vAlign w:val="bottom"/>
          </w:tcPr>
          <w:p>
            <w:pPr>
              <w:spacing w:after="0"/>
              <w:rPr>
                <w:sz w:val="1"/>
                <w:szCs w:val="1"/>
                <w:color w:val="auto"/>
              </w:rPr>
            </w:pPr>
          </w:p>
        </w:tc>
      </w:tr>
      <w:tr>
        <w:trPr>
          <w:trHeight w:val="171"/>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11,854</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12,125</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11,481</w:t>
            </w: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0" w:type="dxa"/>
            <w:vAlign w:val="bottom"/>
          </w:tcPr>
          <w:p>
            <w:pPr>
              <w:spacing w:after="0"/>
              <w:rPr>
                <w:sz w:val="1"/>
                <w:szCs w:val="1"/>
                <w:color w:val="auto"/>
              </w:rPr>
            </w:pPr>
          </w:p>
        </w:tc>
      </w:tr>
      <w:tr>
        <w:trPr>
          <w:trHeight w:val="179"/>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79"/>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Pension and other post-employment benefits</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noncurrent obligations</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171"/>
        </w:trPr>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6,258</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6,334</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6,115</w:t>
            </w: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contingent liabilities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6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Common stock, $0.01 par value; 1,666,667,000 shares authorized; issued at March 31, 2026 -</w:t>
            </w:r>
          </w:p>
        </w:tc>
        <w:tc>
          <w:tcPr>
            <w:tcW w:w="6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670,044,000; December 31, 2025 - 672,163,000; and March 31, 2025 - 683,026,000</w:t>
            </w:r>
          </w:p>
        </w:tc>
        <w:tc>
          <w:tcPr>
            <w:tcW w:w="68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26,859</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27,001</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26,962</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79"/>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0" w:type="dxa"/>
            <w:vAlign w:val="bottom"/>
          </w:tcPr>
          <w:p>
            <w:pPr>
              <w:spacing w:after="0"/>
              <w:rPr>
                <w:sz w:val="1"/>
                <w:szCs w:val="1"/>
                <w:color w:val="auto"/>
              </w:rPr>
            </w:pPr>
          </w:p>
        </w:tc>
      </w:tr>
      <w:tr>
        <w:trPr>
          <w:trHeight w:val="175"/>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Corteva stockholders' equity</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24,362</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24,144</w:t>
            </w:r>
          </w:p>
        </w:tc>
        <w:tc>
          <w:tcPr>
            <w:tcW w:w="1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24,285</w:t>
            </w:r>
          </w:p>
        </w:tc>
        <w:tc>
          <w:tcPr>
            <w:tcW w:w="0" w:type="dxa"/>
            <w:vAlign w:val="bottom"/>
          </w:tcPr>
          <w:p>
            <w:pPr>
              <w:spacing w:after="0"/>
              <w:rPr>
                <w:sz w:val="1"/>
                <w:szCs w:val="1"/>
                <w:color w:val="auto"/>
              </w:rPr>
            </w:pPr>
          </w:p>
        </w:tc>
      </w:tr>
      <w:tr>
        <w:trPr>
          <w:trHeight w:val="170"/>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equity</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24,605</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24,386</w:t>
            </w:r>
          </w:p>
        </w:tc>
        <w:tc>
          <w:tcPr>
            <w:tcW w:w="1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24,527</w:t>
            </w:r>
          </w:p>
        </w:tc>
        <w:tc>
          <w:tcPr>
            <w:tcW w:w="0" w:type="dxa"/>
            <w:vAlign w:val="bottom"/>
          </w:tcPr>
          <w:p>
            <w:pPr>
              <w:spacing w:after="0"/>
              <w:rPr>
                <w:sz w:val="1"/>
                <w:szCs w:val="1"/>
                <w:color w:val="auto"/>
              </w:rPr>
            </w:pPr>
          </w:p>
        </w:tc>
      </w:tr>
      <w:tr>
        <w:trPr>
          <w:trHeight w:val="175"/>
        </w:trPr>
        <w:tc>
          <w:tcPr>
            <w:tcW w:w="5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6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42,717</w:t>
            </w: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42,845</w:t>
            </w:r>
          </w:p>
        </w:tc>
        <w:tc>
          <w:tcPr>
            <w:tcW w:w="180" w:type="dxa"/>
            <w:vAlign w:val="bottom"/>
          </w:tcPr>
          <w:p>
            <w:pPr>
              <w:spacing w:after="0"/>
              <w:rPr>
                <w:sz w:val="15"/>
                <w:szCs w:val="15"/>
                <w:color w:val="auto"/>
              </w:rPr>
            </w:pPr>
          </w:p>
        </w:tc>
        <w:tc>
          <w:tcPr>
            <w:tcW w:w="7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42,123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25" w:right="3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A-3</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31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3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78"/>
        </w:trPr>
        <w:tc>
          <w:tcPr>
            <w:tcW w:w="80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806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79"/>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discontinued operations after income taxes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cash provided by (used for) operating activities: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(benefit from) deferred income tax</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periodic pension and OPEB (benefit) cost, net</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Pension and OPEB contributions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(gain) loss on sales of property, businesses, consolidated companies and investments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Restructuring and asset related charges - net</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net loss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assets and liabilities, net</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9"/>
        </w:trPr>
        <w:tc>
          <w:tcPr>
            <w:tcW w:w="8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and notes receivable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r>
      <w:tr>
        <w:trPr>
          <w:trHeight w:val="184"/>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79"/>
        </w:trPr>
        <w:tc>
          <w:tcPr>
            <w:tcW w:w="8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4"/>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179"/>
        </w:trPr>
        <w:tc>
          <w:tcPr>
            <w:tcW w:w="8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(used for) operating activities - continuing operations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r>
      <w:tr>
        <w:trPr>
          <w:trHeight w:val="17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provided by (used for) operating activities - discontinued operations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(used for) operating activities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r>
      <w:tr>
        <w:trPr>
          <w:trHeight w:val="180"/>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 expenditures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property, businesses and consolidated companies - net of cash divested</w:t>
            </w:r>
          </w:p>
        </w:tc>
        <w:tc>
          <w:tcPr>
            <w:tcW w:w="9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 in and loans to nonconsolidated affiliates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and maturities of investments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0"/>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Cash provided by (used for) investing activities</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Pr>
          <w:p>
            <w:pPr>
              <w:spacing w:after="0"/>
              <w:rPr>
                <w:sz w:val="14"/>
                <w:szCs w:val="14"/>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change in borrowings (less than 90 days)</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debt</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debt</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79"/>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79"/>
        </w:trPr>
        <w:tc>
          <w:tcPr>
            <w:tcW w:w="8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(used for) financing activities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r>
      <w:tr>
        <w:trPr>
          <w:trHeight w:val="17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 equivalents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cash, cash equivalents and restricted cash equivalents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r>
      <w:tr>
        <w:trPr>
          <w:trHeight w:val="17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at beginning of period</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w:t>
            </w:r>
          </w:p>
        </w:tc>
      </w:tr>
      <w:tr>
        <w:trPr>
          <w:trHeight w:val="200"/>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equivalents at end of period</w:t>
            </w:r>
          </w:p>
        </w:tc>
        <w:tc>
          <w:tcPr>
            <w:tcW w:w="98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25" w:right="3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A-4</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Segment Information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79"/>
        </w:trPr>
        <w:tc>
          <w:tcPr>
            <w:tcW w:w="184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41"/>
        </w:trPr>
        <w:tc>
          <w:tcPr>
            <w:tcW w:w="80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SEGMENT NET SALES - SEED</w:t>
            </w:r>
          </w:p>
        </w:tc>
        <w:tc>
          <w:tcPr>
            <w:tcW w:w="340" w:type="dxa"/>
            <w:vAlign w:val="bottom"/>
          </w:tcPr>
          <w:p>
            <w:pPr>
              <w:spacing w:after="0"/>
              <w:rPr>
                <w:sz w:val="12"/>
                <w:szCs w:val="12"/>
                <w:color w:val="auto"/>
              </w:rPr>
            </w:pPr>
          </w:p>
        </w:tc>
        <w:tc>
          <w:tcPr>
            <w:tcW w:w="116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18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6"/>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Corn</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r>
      <w:tr>
        <w:trPr>
          <w:trHeight w:val="17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Soybean</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84"/>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oilseeds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79"/>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00"/>
        </w:trPr>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Seed</w:t>
            </w: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79"/>
        </w:trPr>
        <w:tc>
          <w:tcPr>
            <w:tcW w:w="2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41"/>
        </w:trPr>
        <w:tc>
          <w:tcPr>
            <w:tcW w:w="80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SEGMENT NET SALES - CROP PROTECTION</w:t>
            </w:r>
          </w:p>
        </w:tc>
        <w:tc>
          <w:tcPr>
            <w:tcW w:w="340" w:type="dxa"/>
            <w:vAlign w:val="bottom"/>
          </w:tcPr>
          <w:p>
            <w:pPr>
              <w:spacing w:after="0"/>
              <w:rPr>
                <w:sz w:val="12"/>
                <w:szCs w:val="12"/>
                <w:color w:val="auto"/>
              </w:rPr>
            </w:pPr>
          </w:p>
        </w:tc>
        <w:tc>
          <w:tcPr>
            <w:tcW w:w="116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274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6"/>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Herbicides</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17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Insecticides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4"/>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Fungicides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7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Biologicals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1"/>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75"/>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Crop Protection</w:t>
            </w:r>
          </w:p>
        </w:tc>
        <w:tc>
          <w:tcPr>
            <w:tcW w:w="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w:t>
            </w:r>
          </w:p>
        </w:tc>
      </w:tr>
      <w:tr>
        <w:trPr>
          <w:trHeight w:val="20"/>
        </w:trPr>
        <w:tc>
          <w:tcPr>
            <w:tcW w:w="27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79"/>
        </w:trPr>
        <w:tc>
          <w:tcPr>
            <w:tcW w:w="20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41"/>
        </w:trPr>
        <w:tc>
          <w:tcPr>
            <w:tcW w:w="80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GEOGRAPHIC NET SALES - SEED</w:t>
            </w:r>
          </w:p>
        </w:tc>
        <w:tc>
          <w:tcPr>
            <w:tcW w:w="340" w:type="dxa"/>
            <w:vAlign w:val="bottom"/>
          </w:tcPr>
          <w:p>
            <w:pPr>
              <w:spacing w:after="0"/>
              <w:rPr>
                <w:sz w:val="12"/>
                <w:szCs w:val="12"/>
                <w:color w:val="auto"/>
              </w:rPr>
            </w:pPr>
          </w:p>
        </w:tc>
        <w:tc>
          <w:tcPr>
            <w:tcW w:w="116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208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6"/>
        </w:trPr>
        <w:tc>
          <w:tcPr>
            <w:tcW w:w="80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4"/>
                <w:szCs w:val="14"/>
                <w:b w:val="1"/>
                <w:bCs w:val="1"/>
                <w:color w:val="auto"/>
              </w:rPr>
              <w:t xml:space="preserve">North America </w:t>
            </w:r>
            <w:r>
              <w:rPr>
                <w:rFonts w:ascii="Times New Roman" w:cs="Times New Roman" w:eastAsia="Times New Roman" w:hAnsi="Times New Roman"/>
                <w:sz w:val="17"/>
                <w:szCs w:val="17"/>
                <w:b w:val="1"/>
                <w:bCs w:val="1"/>
                <w:color w:val="auto"/>
                <w:vertAlign w:val="superscript"/>
              </w:rPr>
              <w:t>1</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r>
      <w:tr>
        <w:trPr>
          <w:trHeight w:val="181"/>
        </w:trPr>
        <w:tc>
          <w:tcPr>
            <w:tcW w:w="80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EMEA </w:t>
            </w:r>
            <w:r>
              <w:rPr>
                <w:rFonts w:ascii="Times New Roman" w:cs="Times New Roman" w:eastAsia="Times New Roman" w:hAnsi="Times New Roman"/>
                <w:sz w:val="17"/>
                <w:szCs w:val="17"/>
                <w:color w:val="auto"/>
                <w:vertAlign w:val="superscript"/>
              </w:rPr>
              <w:t>2</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81"/>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Latin America</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79"/>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Asia Pacific</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75"/>
        </w:trPr>
        <w:tc>
          <w:tcPr>
            <w:tcW w:w="8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Rest of World </w:t>
            </w:r>
            <w:r>
              <w:rPr>
                <w:rFonts w:ascii="Times New Roman" w:cs="Times New Roman" w:eastAsia="Times New Roman" w:hAnsi="Times New Roman"/>
                <w:sz w:val="17"/>
                <w:szCs w:val="17"/>
                <w:b w:val="1"/>
                <w:bCs w:val="1"/>
                <w:color w:val="auto"/>
                <w:vertAlign w:val="superscript"/>
              </w:rPr>
              <w:t>3</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r>
      <w:tr>
        <w:trPr>
          <w:trHeight w:val="172"/>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w:t>
            </w:r>
          </w:p>
        </w:tc>
      </w:tr>
      <w:tr>
        <w:trPr>
          <w:trHeight w:val="20"/>
        </w:trPr>
        <w:tc>
          <w:tcPr>
            <w:tcW w:w="20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79"/>
        </w:trPr>
        <w:tc>
          <w:tcPr>
            <w:tcW w:w="29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41"/>
        </w:trPr>
        <w:tc>
          <w:tcPr>
            <w:tcW w:w="80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GEOGRAPHIC NET SALES - CROP PROTECTION</w:t>
            </w:r>
          </w:p>
        </w:tc>
        <w:tc>
          <w:tcPr>
            <w:tcW w:w="340" w:type="dxa"/>
            <w:vAlign w:val="bottom"/>
          </w:tcPr>
          <w:p>
            <w:pPr>
              <w:spacing w:after="0"/>
              <w:rPr>
                <w:sz w:val="12"/>
                <w:szCs w:val="12"/>
                <w:color w:val="auto"/>
              </w:rPr>
            </w:pPr>
          </w:p>
        </w:tc>
        <w:tc>
          <w:tcPr>
            <w:tcW w:w="116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298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6"/>
        </w:trPr>
        <w:tc>
          <w:tcPr>
            <w:tcW w:w="80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4"/>
                <w:szCs w:val="14"/>
                <w:b w:val="1"/>
                <w:bCs w:val="1"/>
                <w:color w:val="auto"/>
              </w:rPr>
              <w:t xml:space="preserve">North America </w:t>
            </w:r>
            <w:r>
              <w:rPr>
                <w:rFonts w:ascii="Times New Roman" w:cs="Times New Roman" w:eastAsia="Times New Roman" w:hAnsi="Times New Roman"/>
                <w:sz w:val="17"/>
                <w:szCs w:val="17"/>
                <w:b w:val="1"/>
                <w:bCs w:val="1"/>
                <w:color w:val="auto"/>
                <w:vertAlign w:val="superscript"/>
              </w:rPr>
              <w:t>1</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81"/>
        </w:trPr>
        <w:tc>
          <w:tcPr>
            <w:tcW w:w="80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EMEA </w:t>
            </w:r>
            <w:r>
              <w:rPr>
                <w:rFonts w:ascii="Times New Roman" w:cs="Times New Roman" w:eastAsia="Times New Roman" w:hAnsi="Times New Roman"/>
                <w:sz w:val="17"/>
                <w:szCs w:val="17"/>
                <w:color w:val="auto"/>
                <w:vertAlign w:val="superscript"/>
              </w:rPr>
              <w:t>2</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81"/>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Latin America</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79"/>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Asia Pacific</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75"/>
        </w:trPr>
        <w:tc>
          <w:tcPr>
            <w:tcW w:w="8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Rest of World </w:t>
            </w:r>
            <w:r>
              <w:rPr>
                <w:rFonts w:ascii="Times New Roman" w:cs="Times New Roman" w:eastAsia="Times New Roman" w:hAnsi="Times New Roman"/>
                <w:sz w:val="17"/>
                <w:szCs w:val="17"/>
                <w:b w:val="1"/>
                <w:bCs w:val="1"/>
                <w:color w:val="auto"/>
                <w:vertAlign w:val="superscript"/>
              </w:rPr>
              <w:t>3</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172"/>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w:t>
            </w:r>
          </w:p>
        </w:tc>
      </w:tr>
      <w:tr>
        <w:trPr>
          <w:trHeight w:val="20"/>
        </w:trPr>
        <w:tc>
          <w:tcPr>
            <w:tcW w:w="29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ind w:left="400" w:hanging="274"/>
        <w:spacing w:after="0"/>
        <w:tabs>
          <w:tab w:leader="none" w:pos="4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U.S. &amp; Canada</w:t>
      </w:r>
    </w:p>
    <w:p>
      <w:pPr>
        <w:spacing w:after="0" w:line="11" w:lineRule="exact"/>
        <w:rPr>
          <w:rFonts w:ascii="Times New Roman" w:cs="Times New Roman" w:eastAsia="Times New Roman" w:hAnsi="Times New Roman"/>
          <w:sz w:val="12"/>
          <w:szCs w:val="12"/>
          <w:color w:val="auto"/>
        </w:rPr>
      </w:pPr>
    </w:p>
    <w:p>
      <w:pPr>
        <w:ind w:left="400" w:hanging="274"/>
        <w:spacing w:after="0"/>
        <w:tabs>
          <w:tab w:leader="none" w:pos="4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Europe, Middle East, and Africa</w:t>
      </w:r>
    </w:p>
    <w:p>
      <w:pPr>
        <w:spacing w:after="0" w:line="5" w:lineRule="exact"/>
        <w:rPr>
          <w:rFonts w:ascii="Times New Roman" w:cs="Times New Roman" w:eastAsia="Times New Roman" w:hAnsi="Times New Roman"/>
          <w:sz w:val="12"/>
          <w:szCs w:val="12"/>
          <w:color w:val="auto"/>
        </w:rPr>
      </w:pPr>
    </w:p>
    <w:p>
      <w:pPr>
        <w:ind w:left="400" w:hanging="274"/>
        <w:spacing w:after="0"/>
        <w:tabs>
          <w:tab w:leader="none" w:pos="4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EMEA, Latin America, and Asia Pacific</w:t>
      </w:r>
    </w:p>
    <w:p>
      <w:pPr>
        <w:sectPr>
          <w:pgSz w:w="11900" w:h="16838" w:orient="portrait"/>
          <w:cols w:equalWidth="0" w:num="1">
            <w:col w:w="11260"/>
          </w:cols>
          <w:pgMar w:left="320" w:top="125" w:right="3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A-5</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Non-GAAP Measures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(Dollars in millions, except per share amounts)</w:t>
      </w:r>
    </w:p>
    <w:p>
      <w:pPr>
        <w:sectPr>
          <w:pgSz w:w="11900" w:h="16838" w:orient="portrait"/>
          <w:cols w:equalWidth="0" w:num="1">
            <w:col w:w="11260"/>
          </w:cols>
          <w:pgMar w:left="32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 (GAAP)</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Add: Impacts from Currency and Portfolio / Other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Organic Sales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680" w:type="dxa"/>
            <w:vAlign w:val="bottom"/>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80"/>
        </w:trPr>
        <w:tc>
          <w:tcPr>
            <w:tcW w:w="5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72"/>
        </w:trPr>
        <w:tc>
          <w:tcPr>
            <w:tcW w:w="5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168"/>
        </w:trPr>
        <w:tc>
          <w:tcPr>
            <w:tcW w:w="5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w w:val="85"/>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w:t>
            </w:r>
          </w:p>
        </w:tc>
      </w:tr>
      <w:tr>
        <w:trPr>
          <w:trHeight w:val="184"/>
        </w:trPr>
        <w:tc>
          <w:tcPr>
            <w:tcW w:w="5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72"/>
        </w:trPr>
        <w:tc>
          <w:tcPr>
            <w:tcW w:w="5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w w:val="85"/>
              </w:rPr>
              <w:t>$</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-387350</wp:posOffset>
            </wp:positionV>
            <wp:extent cx="7154545" cy="121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4545" cy="12192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-150495</wp:posOffset>
            </wp:positionV>
            <wp:extent cx="715454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4545" cy="13652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7340" w:space="720"/>
            <w:col w:w="3200"/>
          </w:cols>
          <w:pgMar w:left="32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79"/>
        </w:trPr>
        <w:tc>
          <w:tcPr>
            <w:tcW w:w="130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41"/>
        </w:trPr>
        <w:tc>
          <w:tcPr>
            <w:tcW w:w="80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OPERATING EBITDA</w:t>
            </w:r>
          </w:p>
        </w:tc>
        <w:tc>
          <w:tcPr>
            <w:tcW w:w="340" w:type="dxa"/>
            <w:vAlign w:val="bottom"/>
          </w:tcPr>
          <w:p>
            <w:pPr>
              <w:spacing w:after="0"/>
              <w:rPr>
                <w:sz w:val="12"/>
                <w:szCs w:val="12"/>
                <w:color w:val="auto"/>
              </w:rPr>
            </w:pPr>
          </w:p>
        </w:tc>
        <w:tc>
          <w:tcPr>
            <w:tcW w:w="116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1300" w:type="dxa"/>
            <w:vAlign w:val="bottom"/>
            <w:tcBorders>
              <w:top w:val="single" w:sz="8" w:color="auto"/>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Seed</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r>
      <w:tr>
        <w:trPr>
          <w:trHeight w:val="179"/>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Crop Protection</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81"/>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Expenses</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5"/>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EBITDA (Non-GAAP)</w:t>
            </w:r>
          </w:p>
        </w:tc>
        <w:tc>
          <w:tcPr>
            <w:tcW w:w="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20"/>
        </w:trPr>
        <w:tc>
          <w:tcPr>
            <w:tcW w:w="13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80"/>
        </w:trPr>
        <w:tc>
          <w:tcPr>
            <w:tcW w:w="7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62"/>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RECONCILIATION OF INCOME (LOSS) FROM CONTINUING OPERATIONS AFTER INCOME TAXES TO OPERATING EBITDA</w:t>
            </w:r>
          </w:p>
        </w:tc>
        <w:tc>
          <w:tcPr>
            <w:tcW w:w="340" w:type="dxa"/>
            <w:vAlign w:val="bottom"/>
          </w:tcPr>
          <w:p>
            <w:pPr>
              <w:spacing w:after="0"/>
              <w:rPr>
                <w:sz w:val="14"/>
                <w:szCs w:val="14"/>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758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after income taxes (GAAP)</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179"/>
        </w:trPr>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(benefit from) income taxes on continuing operations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75"/>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income taxes (GAAP)</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179"/>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4"/>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9"/>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4"/>
        </w:trPr>
        <w:tc>
          <w:tcPr>
            <w:tcW w:w="80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4"/>
                <w:szCs w:val="14"/>
                <w:color w:val="auto"/>
              </w:rPr>
              <w:t xml:space="preserve">Exchange (gains) losses - net </w:t>
            </w:r>
            <w:r>
              <w:rPr>
                <w:rFonts w:ascii="Times New Roman" w:cs="Times New Roman" w:eastAsia="Times New Roman" w:hAnsi="Times New Roman"/>
                <w:sz w:val="17"/>
                <w:szCs w:val="17"/>
                <w:color w:val="auto"/>
                <w:vertAlign w:val="superscript"/>
              </w:rPr>
              <w:t>1</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80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Non-operating (benefits) costs - net </w:t>
            </w:r>
            <w:r>
              <w:rPr>
                <w:rFonts w:ascii="Times New Roman" w:cs="Times New Roman" w:eastAsia="Times New Roman" w:hAnsi="Times New Roman"/>
                <w:sz w:val="17"/>
                <w:szCs w:val="17"/>
                <w:color w:val="auto"/>
                <w:vertAlign w:val="superscript"/>
              </w:rPr>
              <w:t>2</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Mark-to-market (gains) losses on certain foreign currency contracts not designated as hedges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0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Significant items (benefit) charge </w:t>
            </w:r>
            <w:r>
              <w:rPr>
                <w:rFonts w:ascii="Times New Roman" w:cs="Times New Roman" w:eastAsia="Times New Roman" w:hAnsi="Times New Roman"/>
                <w:sz w:val="17"/>
                <w:szCs w:val="17"/>
                <w:color w:val="auto"/>
                <w:vertAlign w:val="superscript"/>
              </w:rPr>
              <w:t>3</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9"/>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Separation costs</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EBITDA (Non-GAAP)</w:t>
            </w:r>
          </w:p>
        </w:tc>
        <w:tc>
          <w:tcPr>
            <w:tcW w:w="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20"/>
        </w:trPr>
        <w:tc>
          <w:tcPr>
            <w:tcW w:w="7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400" w:hanging="274"/>
        <w:spacing w:after="0"/>
        <w:tabs>
          <w:tab w:leader="none" w:pos="4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page A-12 for pre-tax and after tax impacts of exchange (gains) losses.</w:t>
      </w:r>
    </w:p>
    <w:p>
      <w:pPr>
        <w:spacing w:after="0" w:line="19" w:lineRule="exact"/>
        <w:rPr>
          <w:rFonts w:ascii="Times New Roman" w:cs="Times New Roman" w:eastAsia="Times New Roman" w:hAnsi="Times New Roman"/>
          <w:sz w:val="12"/>
          <w:szCs w:val="12"/>
          <w:color w:val="auto"/>
        </w:rPr>
      </w:pPr>
    </w:p>
    <w:p>
      <w:pPr>
        <w:jc w:val="both"/>
        <w:ind w:left="400" w:hanging="274"/>
        <w:spacing w:after="0" w:line="249" w:lineRule="auto"/>
        <w:tabs>
          <w:tab w:leader="none" w:pos="4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Non-operating (benefits) costs consists of non-operating pension and other post-employment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w:t>
      </w:r>
    </w:p>
    <w:p>
      <w:pPr>
        <w:ind w:left="400" w:hanging="274"/>
        <w:spacing w:after="0"/>
        <w:tabs>
          <w:tab w:leader="none" w:pos="4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page A-8 for pre-tax and after tax impacts of significant items.</w:t>
      </w:r>
    </w:p>
    <w:p>
      <w:pPr>
        <w:sectPr>
          <w:pgSz w:w="11900" w:h="16838" w:orient="portrait"/>
          <w:cols w:equalWidth="0" w:num="1">
            <w:col w:w="11260"/>
          </w:cols>
          <w:pgMar w:left="320" w:top="125" w:right="319" w:bottom="1440" w:gutter="0" w:footer="0" w:header="0"/>
          <w:type w:val="continuous"/>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A-6</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Non-GAAP Measures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PRICE - VOLUME - CURRENCY ANALYSIS</w:t>
            </w: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6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Q1 2026 vs. Q1 2025</w:t>
            </w:r>
          </w:p>
        </w:tc>
        <w:tc>
          <w:tcPr>
            <w:tcW w:w="1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Percent Change Due To:</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tcPr>
          <w:p>
            <w:pPr>
              <w:jc w:val="center"/>
              <w:ind w:right="152"/>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 Sales Change</w:t>
            </w:r>
          </w:p>
        </w:tc>
        <w:tc>
          <w:tcPr>
            <w:tcW w:w="1040" w:type="dxa"/>
            <w:vAlign w:val="bottom"/>
          </w:tcPr>
          <w:p>
            <w:pPr>
              <w:spacing w:after="0"/>
              <w:rPr>
                <w:sz w:val="11"/>
                <w:szCs w:val="11"/>
                <w:color w:val="auto"/>
              </w:rPr>
            </w:pPr>
          </w:p>
        </w:tc>
        <w:tc>
          <w:tcPr>
            <w:tcW w:w="1280" w:type="dxa"/>
            <w:vAlign w:val="bottom"/>
          </w:tcPr>
          <w:p>
            <w:pPr>
              <w:jc w:val="center"/>
              <w:ind w:right="133"/>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Organic Change </w:t>
            </w:r>
            <w:r>
              <w:rPr>
                <w:rFonts w:ascii="Times New Roman" w:cs="Times New Roman" w:eastAsia="Times New Roman" w:hAnsi="Times New Roman"/>
                <w:sz w:val="14"/>
                <w:szCs w:val="14"/>
                <w:b w:val="1"/>
                <w:bCs w:val="1"/>
                <w:color w:val="auto"/>
                <w:vertAlign w:val="superscript"/>
              </w:rPr>
              <w:t>1</w:t>
            </w:r>
          </w:p>
        </w:tc>
        <w:tc>
          <w:tcPr>
            <w:tcW w:w="420" w:type="dxa"/>
            <w:vAlign w:val="bottom"/>
          </w:tcPr>
          <w:p>
            <w:pPr>
              <w:spacing w:after="0"/>
              <w:rPr>
                <w:sz w:val="11"/>
                <w:szCs w:val="11"/>
                <w:color w:val="auto"/>
              </w:rPr>
            </w:pPr>
          </w:p>
        </w:tc>
        <w:tc>
          <w:tcPr>
            <w:tcW w:w="14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Price &amp;</w:t>
            </w: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Portfolio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(GAAP)</w:t>
            </w:r>
          </w:p>
        </w:tc>
        <w:tc>
          <w:tcPr>
            <w:tcW w:w="10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6"/>
              </w:rPr>
              <w:t>(Non-GAAP)</w:t>
            </w:r>
          </w:p>
        </w:tc>
        <w:tc>
          <w:tcPr>
            <w:tcW w:w="420" w:type="dxa"/>
            <w:vAlign w:val="bottom"/>
            <w:tcBorders>
              <w:bottom w:val="single" w:sz="8" w:color="auto"/>
            </w:tcBorders>
          </w:tcPr>
          <w:p>
            <w:pPr>
              <w:spacing w:after="0"/>
              <w:rPr>
                <w:sz w:val="15"/>
                <w:szCs w:val="15"/>
                <w:color w:val="auto"/>
              </w:rPr>
            </w:pPr>
          </w:p>
        </w:tc>
        <w:tc>
          <w:tcPr>
            <w:tcW w:w="1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Product Mix</w:t>
            </w: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229</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10 % $</w:t>
            </w:r>
          </w:p>
        </w:tc>
        <w:tc>
          <w:tcPr>
            <w:tcW w:w="12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221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1 %</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9 %</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EMEA</w:t>
            </w:r>
          </w:p>
        </w:tc>
        <w:tc>
          <w:tcPr>
            <w:tcW w:w="6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178</w:t>
            </w:r>
          </w:p>
        </w:tc>
        <w:tc>
          <w:tcPr>
            <w:tcW w:w="720" w:type="dxa"/>
            <w:vAlign w:val="bottom"/>
          </w:tcPr>
          <w:p>
            <w:pPr>
              <w:spacing w:after="0"/>
              <w:rPr>
                <w:sz w:val="15"/>
                <w:szCs w:val="15"/>
                <w:color w:val="auto"/>
              </w:rPr>
            </w:pP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4"/>
                <w:szCs w:val="14"/>
                <w:color w:val="auto"/>
              </w:rPr>
              <w:t>12 %</w:t>
            </w: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56</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2 %</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2 %</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8 %</w:t>
            </w:r>
          </w:p>
        </w:tc>
        <w:tc>
          <w:tcPr>
            <w:tcW w:w="1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64</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14 %</w:t>
            </w:r>
          </w:p>
        </w:tc>
        <w:tc>
          <w:tcPr>
            <w:tcW w:w="12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17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10 %</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17</w:t>
            </w: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6 %</w:t>
            </w:r>
          </w:p>
        </w:tc>
        <w:tc>
          <w:tcPr>
            <w:tcW w:w="12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1 %</w:t>
            </w: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4 %</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1 %</w:t>
            </w: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Rest of World</w:t>
            </w:r>
          </w:p>
        </w:tc>
        <w:tc>
          <w:tcPr>
            <w:tcW w:w="6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259</w:t>
            </w:r>
          </w:p>
        </w:tc>
        <w:tc>
          <w:tcPr>
            <w:tcW w:w="7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12 %</w:t>
            </w:r>
          </w:p>
        </w:tc>
        <w:tc>
          <w:tcPr>
            <w:tcW w:w="12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88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1 %</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3 %</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8 %</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488</w:t>
            </w:r>
          </w:p>
        </w:tc>
        <w:tc>
          <w:tcPr>
            <w:tcW w:w="720" w:type="dxa"/>
            <w:vAlign w:val="bottom"/>
          </w:tcPr>
          <w:p>
            <w:pPr>
              <w:spacing w:after="0"/>
              <w:rPr>
                <w:sz w:val="14"/>
                <w:szCs w:val="14"/>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11 % $</w:t>
            </w: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309</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1 %</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4 %</w:t>
            </w:r>
          </w:p>
        </w:tc>
        <w:tc>
          <w:tcPr>
            <w:tcW w:w="1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SEED</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Q1 2026 vs. Q1 2025</w:t>
            </w:r>
          </w:p>
        </w:tc>
        <w:tc>
          <w:tcPr>
            <w:tcW w:w="1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Percent Change Due To:</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tcPr>
          <w:p>
            <w:pPr>
              <w:jc w:val="center"/>
              <w:ind w:right="152"/>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 Sales Change</w:t>
            </w:r>
          </w:p>
        </w:tc>
        <w:tc>
          <w:tcPr>
            <w:tcW w:w="1040" w:type="dxa"/>
            <w:vAlign w:val="bottom"/>
          </w:tcPr>
          <w:p>
            <w:pPr>
              <w:spacing w:after="0"/>
              <w:rPr>
                <w:sz w:val="11"/>
                <w:szCs w:val="11"/>
                <w:color w:val="auto"/>
              </w:rPr>
            </w:pPr>
          </w:p>
        </w:tc>
        <w:tc>
          <w:tcPr>
            <w:tcW w:w="1280" w:type="dxa"/>
            <w:vAlign w:val="bottom"/>
          </w:tcPr>
          <w:p>
            <w:pPr>
              <w:jc w:val="center"/>
              <w:ind w:right="133"/>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Organic Change </w:t>
            </w:r>
            <w:r>
              <w:rPr>
                <w:rFonts w:ascii="Times New Roman" w:cs="Times New Roman" w:eastAsia="Times New Roman" w:hAnsi="Times New Roman"/>
                <w:sz w:val="14"/>
                <w:szCs w:val="14"/>
                <w:b w:val="1"/>
                <w:bCs w:val="1"/>
                <w:color w:val="auto"/>
                <w:vertAlign w:val="superscript"/>
              </w:rPr>
              <w:t>1</w:t>
            </w:r>
          </w:p>
        </w:tc>
        <w:tc>
          <w:tcPr>
            <w:tcW w:w="420" w:type="dxa"/>
            <w:vAlign w:val="bottom"/>
          </w:tcPr>
          <w:p>
            <w:pPr>
              <w:spacing w:after="0"/>
              <w:rPr>
                <w:sz w:val="11"/>
                <w:szCs w:val="11"/>
                <w:color w:val="auto"/>
              </w:rPr>
            </w:pPr>
          </w:p>
        </w:tc>
        <w:tc>
          <w:tcPr>
            <w:tcW w:w="14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Price &amp;</w:t>
            </w: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Portfolio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(GAAP)</w:t>
            </w:r>
          </w:p>
        </w:tc>
        <w:tc>
          <w:tcPr>
            <w:tcW w:w="10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6"/>
              </w:rPr>
              <w:t>(Non-GAAP)</w:t>
            </w:r>
          </w:p>
        </w:tc>
        <w:tc>
          <w:tcPr>
            <w:tcW w:w="420" w:type="dxa"/>
            <w:vAlign w:val="bottom"/>
            <w:tcBorders>
              <w:bottom w:val="single" w:sz="8" w:color="auto"/>
            </w:tcBorders>
          </w:tcPr>
          <w:p>
            <w:pPr>
              <w:spacing w:after="0"/>
              <w:rPr>
                <w:sz w:val="15"/>
                <w:szCs w:val="15"/>
                <w:color w:val="auto"/>
              </w:rPr>
            </w:pPr>
          </w:p>
        </w:tc>
        <w:tc>
          <w:tcPr>
            <w:tcW w:w="1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Product Mix</w:t>
            </w: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173</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11 % $</w:t>
            </w:r>
          </w:p>
        </w:tc>
        <w:tc>
          <w:tcPr>
            <w:tcW w:w="12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171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2 %</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9 %</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EMEA</w:t>
            </w:r>
          </w:p>
        </w:tc>
        <w:tc>
          <w:tcPr>
            <w:tcW w:w="6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102</w:t>
            </w:r>
          </w:p>
        </w:tc>
        <w:tc>
          <w:tcPr>
            <w:tcW w:w="720" w:type="dxa"/>
            <w:vAlign w:val="bottom"/>
          </w:tcPr>
          <w:p>
            <w:pPr>
              <w:spacing w:after="0"/>
              <w:rPr>
                <w:sz w:val="15"/>
                <w:szCs w:val="15"/>
                <w:color w:val="auto"/>
              </w:rPr>
            </w:pP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4"/>
                <w:szCs w:val="14"/>
                <w:color w:val="auto"/>
              </w:rPr>
              <w:t>12 %</w:t>
            </w: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4 %</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1 %</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7 %</w:t>
            </w:r>
          </w:p>
        </w:tc>
        <w:tc>
          <w:tcPr>
            <w:tcW w:w="1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21 %</w:t>
            </w:r>
          </w:p>
        </w:tc>
        <w:tc>
          <w:tcPr>
            <w:tcW w:w="12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8 %</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13 %</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2 %</w:t>
            </w:r>
          </w:p>
        </w:tc>
        <w:tc>
          <w:tcPr>
            <w:tcW w:w="12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7 %</w:t>
            </w: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Rest of World</w:t>
            </w:r>
          </w:p>
        </w:tc>
        <w:tc>
          <w:tcPr>
            <w:tcW w:w="6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143</w:t>
            </w:r>
          </w:p>
        </w:tc>
        <w:tc>
          <w:tcPr>
            <w:tcW w:w="7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13 %</w:t>
            </w:r>
          </w:p>
        </w:tc>
        <w:tc>
          <w:tcPr>
            <w:tcW w:w="12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62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6 %</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7 %</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316</w:t>
            </w:r>
          </w:p>
        </w:tc>
        <w:tc>
          <w:tcPr>
            <w:tcW w:w="720" w:type="dxa"/>
            <w:vAlign w:val="bottom"/>
          </w:tcPr>
          <w:p>
            <w:pPr>
              <w:spacing w:after="0"/>
              <w:rPr>
                <w:sz w:val="14"/>
                <w:szCs w:val="14"/>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12 % $</w:t>
            </w: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233</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3 %</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3 %</w:t>
            </w:r>
          </w:p>
        </w:tc>
        <w:tc>
          <w:tcPr>
            <w:tcW w:w="1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CROP PROTECTION</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Q1 2026 vs. Q1 2025</w:t>
            </w:r>
          </w:p>
        </w:tc>
        <w:tc>
          <w:tcPr>
            <w:tcW w:w="1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Percent Change Due To:</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tcPr>
          <w:p>
            <w:pPr>
              <w:jc w:val="center"/>
              <w:ind w:right="152"/>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 Sales Change</w:t>
            </w:r>
          </w:p>
        </w:tc>
        <w:tc>
          <w:tcPr>
            <w:tcW w:w="1040" w:type="dxa"/>
            <w:vAlign w:val="bottom"/>
          </w:tcPr>
          <w:p>
            <w:pPr>
              <w:spacing w:after="0"/>
              <w:rPr>
                <w:sz w:val="11"/>
                <w:szCs w:val="11"/>
                <w:color w:val="auto"/>
              </w:rPr>
            </w:pPr>
          </w:p>
        </w:tc>
        <w:tc>
          <w:tcPr>
            <w:tcW w:w="1280" w:type="dxa"/>
            <w:vAlign w:val="bottom"/>
          </w:tcPr>
          <w:p>
            <w:pPr>
              <w:jc w:val="center"/>
              <w:ind w:right="133"/>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Organic Change </w:t>
            </w:r>
            <w:r>
              <w:rPr>
                <w:rFonts w:ascii="Times New Roman" w:cs="Times New Roman" w:eastAsia="Times New Roman" w:hAnsi="Times New Roman"/>
                <w:sz w:val="14"/>
                <w:szCs w:val="14"/>
                <w:b w:val="1"/>
                <w:bCs w:val="1"/>
                <w:color w:val="auto"/>
                <w:vertAlign w:val="superscript"/>
              </w:rPr>
              <w:t>1</w:t>
            </w:r>
          </w:p>
        </w:tc>
        <w:tc>
          <w:tcPr>
            <w:tcW w:w="420" w:type="dxa"/>
            <w:vAlign w:val="bottom"/>
          </w:tcPr>
          <w:p>
            <w:pPr>
              <w:spacing w:after="0"/>
              <w:rPr>
                <w:sz w:val="11"/>
                <w:szCs w:val="11"/>
                <w:color w:val="auto"/>
              </w:rPr>
            </w:pPr>
          </w:p>
        </w:tc>
        <w:tc>
          <w:tcPr>
            <w:tcW w:w="14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Price &amp;</w:t>
            </w: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Portfolio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(GAAP)</w:t>
            </w:r>
          </w:p>
        </w:tc>
        <w:tc>
          <w:tcPr>
            <w:tcW w:w="10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6"/>
              </w:rPr>
              <w:t>(Non-GAAP)</w:t>
            </w:r>
          </w:p>
        </w:tc>
        <w:tc>
          <w:tcPr>
            <w:tcW w:w="420" w:type="dxa"/>
            <w:vAlign w:val="bottom"/>
            <w:tcBorders>
              <w:bottom w:val="single" w:sz="8" w:color="auto"/>
            </w:tcBorders>
          </w:tcPr>
          <w:p>
            <w:pPr>
              <w:spacing w:after="0"/>
              <w:rPr>
                <w:sz w:val="15"/>
                <w:szCs w:val="15"/>
                <w:color w:val="auto"/>
              </w:rPr>
            </w:pPr>
          </w:p>
        </w:tc>
        <w:tc>
          <w:tcPr>
            <w:tcW w:w="1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Product Mix</w:t>
            </w: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56</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9 % $</w:t>
            </w:r>
          </w:p>
        </w:tc>
        <w:tc>
          <w:tcPr>
            <w:tcW w:w="12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50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8 %</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1 %</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EMEA</w:t>
            </w:r>
          </w:p>
        </w:tc>
        <w:tc>
          <w:tcPr>
            <w:tcW w:w="6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w:t>
            </w:r>
          </w:p>
        </w:tc>
        <w:tc>
          <w:tcPr>
            <w:tcW w:w="720" w:type="dxa"/>
            <w:vAlign w:val="bottom"/>
          </w:tcPr>
          <w:p>
            <w:pPr>
              <w:spacing w:after="0"/>
              <w:rPr>
                <w:sz w:val="15"/>
                <w:szCs w:val="15"/>
                <w:color w:val="auto"/>
              </w:rPr>
            </w:pP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4"/>
                <w:szCs w:val="14"/>
                <w:color w:val="auto"/>
              </w:rPr>
              <w:t>12 %</w:t>
            </w: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3 %</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10 %</w:t>
            </w:r>
          </w:p>
        </w:tc>
        <w:tc>
          <w:tcPr>
            <w:tcW w:w="1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10 %</w:t>
            </w:r>
          </w:p>
        </w:tc>
        <w:tc>
          <w:tcPr>
            <w:tcW w:w="12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(9)%</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10 %</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9 %</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15</w:t>
            </w: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8 %</w:t>
            </w:r>
          </w:p>
        </w:tc>
        <w:tc>
          <w:tcPr>
            <w:tcW w:w="12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w:t>
            </w: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9 %</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2 %</w:t>
            </w: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Rest of World</w:t>
            </w:r>
          </w:p>
        </w:tc>
        <w:tc>
          <w:tcPr>
            <w:tcW w:w="6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116</w:t>
            </w:r>
          </w:p>
        </w:tc>
        <w:tc>
          <w:tcPr>
            <w:tcW w:w="7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11 %</w:t>
            </w:r>
          </w:p>
        </w:tc>
        <w:tc>
          <w:tcPr>
            <w:tcW w:w="12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26</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5 %</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9 %</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172</w:t>
            </w:r>
          </w:p>
        </w:tc>
        <w:tc>
          <w:tcPr>
            <w:tcW w:w="720" w:type="dxa"/>
            <w:vAlign w:val="bottom"/>
          </w:tcPr>
          <w:p>
            <w:pPr>
              <w:spacing w:after="0"/>
              <w:rPr>
                <w:sz w:val="14"/>
                <w:szCs w:val="14"/>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10 % $</w:t>
            </w: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76</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6 %</w:t>
            </w:r>
          </w:p>
        </w:tc>
        <w:tc>
          <w:tcPr>
            <w:tcW w:w="1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ectPr>
          <w:pgSz w:w="11900" w:h="16838" w:orient="portrait"/>
          <w:cols w:equalWidth="0" w:num="1">
            <w:col w:w="11180"/>
          </w:cols>
          <w:pgMar w:left="360" w:top="125" w:right="35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A-7</w:t>
      </w:r>
    </w:p>
    <w:p>
      <w:pPr>
        <w:spacing w:after="0" w:line="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Reconciliation of Non-GAAP Measures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SEED PRODUCT LINE</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w w:val="96"/>
              </w:rPr>
              <w:t>Q1 2026 vs. Q1 2025</w:t>
            </w:r>
          </w:p>
        </w:tc>
        <w:tc>
          <w:tcPr>
            <w:tcW w:w="1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Percent Change Due To:</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2"/>
          </w:tcPr>
          <w:p>
            <w:pPr>
              <w:jc w:val="center"/>
              <w:ind w:right="112"/>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 Sales Change</w:t>
            </w:r>
          </w:p>
        </w:tc>
        <w:tc>
          <w:tcPr>
            <w:tcW w:w="1080" w:type="dxa"/>
            <w:vAlign w:val="bottom"/>
          </w:tcPr>
          <w:p>
            <w:pPr>
              <w:spacing w:after="0"/>
              <w:rPr>
                <w:sz w:val="11"/>
                <w:szCs w:val="11"/>
                <w:color w:val="auto"/>
              </w:rPr>
            </w:pPr>
          </w:p>
        </w:tc>
        <w:tc>
          <w:tcPr>
            <w:tcW w:w="124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Organic Change </w:t>
            </w:r>
            <w:r>
              <w:rPr>
                <w:rFonts w:ascii="Times New Roman" w:cs="Times New Roman" w:eastAsia="Times New Roman" w:hAnsi="Times New Roman"/>
                <w:sz w:val="14"/>
                <w:szCs w:val="14"/>
                <w:b w:val="1"/>
                <w:bCs w:val="1"/>
                <w:color w:val="auto"/>
                <w:vertAlign w:val="superscript"/>
              </w:rPr>
              <w:t>1</w:t>
            </w:r>
          </w:p>
        </w:tc>
        <w:tc>
          <w:tcPr>
            <w:tcW w:w="440" w:type="dxa"/>
            <w:vAlign w:val="bottom"/>
          </w:tcPr>
          <w:p>
            <w:pPr>
              <w:spacing w:after="0"/>
              <w:rPr>
                <w:sz w:val="11"/>
                <w:szCs w:val="11"/>
                <w:color w:val="auto"/>
              </w:rPr>
            </w:pPr>
          </w:p>
        </w:tc>
        <w:tc>
          <w:tcPr>
            <w:tcW w:w="144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5"/>
              </w:rPr>
              <w:t>Price &amp;</w:t>
            </w: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Portfolio /</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3"/>
              </w:rPr>
              <w:t>(GAAP)</w:t>
            </w:r>
          </w:p>
        </w:tc>
        <w:tc>
          <w:tcPr>
            <w:tcW w:w="10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6"/>
              </w:rPr>
              <w:t>(Non-GAAP)</w:t>
            </w:r>
          </w:p>
        </w:tc>
        <w:tc>
          <w:tcPr>
            <w:tcW w:w="440" w:type="dxa"/>
            <w:vAlign w:val="bottom"/>
            <w:tcBorders>
              <w:bottom w:val="single" w:sz="8" w:color="auto"/>
            </w:tcBorders>
          </w:tcPr>
          <w:p>
            <w:pPr>
              <w:spacing w:after="0"/>
              <w:rPr>
                <w:sz w:val="15"/>
                <w:szCs w:val="15"/>
                <w:color w:val="auto"/>
              </w:rPr>
            </w:pPr>
          </w:p>
        </w:tc>
        <w:tc>
          <w:tcPr>
            <w:tcW w:w="14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7"/>
              </w:rPr>
              <w:t>Product Mix</w:t>
            </w: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74"/>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Corn</w:t>
            </w:r>
          </w:p>
        </w:tc>
        <w:tc>
          <w:tcPr>
            <w:tcW w:w="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304</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15 % $</w:t>
            </w:r>
          </w:p>
        </w:tc>
        <w:tc>
          <w:tcPr>
            <w:tcW w:w="12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235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4 %</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7 %</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4 %</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79"/>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Soybeans</w:t>
            </w:r>
          </w:p>
        </w:tc>
        <w:tc>
          <w:tcPr>
            <w:tcW w:w="600" w:type="dxa"/>
            <w:vAlign w:val="bottom"/>
          </w:tcPr>
          <w:p>
            <w:pPr>
              <w:spacing w:after="0"/>
              <w:rPr>
                <w:sz w:val="15"/>
                <w:szCs w:val="15"/>
                <w:color w:val="auto"/>
              </w:rPr>
            </w:pPr>
          </w:p>
        </w:tc>
        <w:tc>
          <w:tcPr>
            <w:tcW w:w="1240" w:type="dxa"/>
            <w:vAlign w:val="bottom"/>
            <w:gridSpan w:val="2"/>
          </w:tcPr>
          <w:p>
            <w:pPr>
              <w:jc w:val="right"/>
              <w:ind w:right="752"/>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1 %</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1 %</w:t>
            </w: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84"/>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oilseeds</w:t>
            </w:r>
          </w:p>
        </w:tc>
        <w:tc>
          <w:tcPr>
            <w:tcW w:w="6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22</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10 %</w:t>
            </w:r>
          </w:p>
        </w:tc>
        <w:tc>
          <w:tcPr>
            <w:tcW w:w="12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5 %</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1 %</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4 %</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79"/>
        </w:trPr>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712"/>
              <w:spacing w:after="0"/>
              <w:rPr>
                <w:sz w:val="20"/>
                <w:szCs w:val="20"/>
                <w:color w:val="auto"/>
              </w:rPr>
            </w:pPr>
            <w:r>
              <w:rPr>
                <w:rFonts w:ascii="Times New Roman" w:cs="Times New Roman" w:eastAsia="Times New Roman" w:hAnsi="Times New Roman"/>
                <w:sz w:val="14"/>
                <w:szCs w:val="14"/>
                <w:color w:val="auto"/>
              </w:rPr>
              <w:t>(11)</w:t>
            </w: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12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(10)%</w:t>
            </w: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3 %</w:t>
            </w: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316</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12 % $</w:t>
            </w:r>
          </w:p>
        </w:tc>
        <w:tc>
          <w:tcPr>
            <w:tcW w:w="12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233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3 %</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3 %</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374"/>
        </w:trPr>
        <w:tc>
          <w:tcPr>
            <w:tcW w:w="3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CROP PROTECTION PRODUCT LINE</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w w:val="96"/>
              </w:rPr>
              <w:t>Q1 2026 vs. Q1 2025</w:t>
            </w:r>
          </w:p>
        </w:tc>
        <w:tc>
          <w:tcPr>
            <w:tcW w:w="1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Percent Change Due To:</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2"/>
          </w:tcPr>
          <w:p>
            <w:pPr>
              <w:jc w:val="center"/>
              <w:ind w:right="112"/>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 Sales Change</w:t>
            </w:r>
          </w:p>
        </w:tc>
        <w:tc>
          <w:tcPr>
            <w:tcW w:w="1080" w:type="dxa"/>
            <w:vAlign w:val="bottom"/>
          </w:tcPr>
          <w:p>
            <w:pPr>
              <w:spacing w:after="0"/>
              <w:rPr>
                <w:sz w:val="11"/>
                <w:szCs w:val="11"/>
                <w:color w:val="auto"/>
              </w:rPr>
            </w:pPr>
          </w:p>
        </w:tc>
        <w:tc>
          <w:tcPr>
            <w:tcW w:w="124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Organic Change </w:t>
            </w:r>
            <w:r>
              <w:rPr>
                <w:rFonts w:ascii="Times New Roman" w:cs="Times New Roman" w:eastAsia="Times New Roman" w:hAnsi="Times New Roman"/>
                <w:sz w:val="14"/>
                <w:szCs w:val="14"/>
                <w:b w:val="1"/>
                <w:bCs w:val="1"/>
                <w:color w:val="auto"/>
                <w:vertAlign w:val="superscript"/>
              </w:rPr>
              <w:t>1</w:t>
            </w:r>
          </w:p>
        </w:tc>
        <w:tc>
          <w:tcPr>
            <w:tcW w:w="440" w:type="dxa"/>
            <w:vAlign w:val="bottom"/>
          </w:tcPr>
          <w:p>
            <w:pPr>
              <w:spacing w:after="0"/>
              <w:rPr>
                <w:sz w:val="11"/>
                <w:szCs w:val="11"/>
                <w:color w:val="auto"/>
              </w:rPr>
            </w:pPr>
          </w:p>
        </w:tc>
        <w:tc>
          <w:tcPr>
            <w:tcW w:w="144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5"/>
              </w:rPr>
              <w:t>Price &amp;</w:t>
            </w: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Portfolio /</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3"/>
              </w:rPr>
              <w:t>(GAAP)</w:t>
            </w:r>
          </w:p>
        </w:tc>
        <w:tc>
          <w:tcPr>
            <w:tcW w:w="10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6"/>
              </w:rPr>
              <w:t>(Non-GAAP)</w:t>
            </w:r>
          </w:p>
        </w:tc>
        <w:tc>
          <w:tcPr>
            <w:tcW w:w="440" w:type="dxa"/>
            <w:vAlign w:val="bottom"/>
            <w:tcBorders>
              <w:bottom w:val="single" w:sz="8" w:color="auto"/>
            </w:tcBorders>
          </w:tcPr>
          <w:p>
            <w:pPr>
              <w:spacing w:after="0"/>
              <w:rPr>
                <w:sz w:val="15"/>
                <w:szCs w:val="15"/>
                <w:color w:val="auto"/>
              </w:rPr>
            </w:pPr>
          </w:p>
        </w:tc>
        <w:tc>
          <w:tcPr>
            <w:tcW w:w="14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7"/>
              </w:rPr>
              <w:t>Product Mix</w:t>
            </w: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74"/>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Herbicides</w:t>
            </w:r>
          </w:p>
        </w:tc>
        <w:tc>
          <w:tcPr>
            <w:tcW w:w="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167</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19 % $</w:t>
            </w:r>
          </w:p>
        </w:tc>
        <w:tc>
          <w:tcPr>
            <w:tcW w:w="12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111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14 %</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79"/>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Insecticides</w:t>
            </w:r>
          </w:p>
        </w:tc>
        <w:tc>
          <w:tcPr>
            <w:tcW w:w="600" w:type="dxa"/>
            <w:vAlign w:val="bottom"/>
          </w:tcPr>
          <w:p>
            <w:pPr>
              <w:spacing w:after="0"/>
              <w:rPr>
                <w:sz w:val="15"/>
                <w:szCs w:val="15"/>
                <w:color w:val="auto"/>
              </w:rPr>
            </w:pPr>
          </w:p>
        </w:tc>
        <w:tc>
          <w:tcPr>
            <w:tcW w:w="1240" w:type="dxa"/>
            <w:vAlign w:val="bottom"/>
            <w:gridSpan w:val="2"/>
          </w:tcPr>
          <w:p>
            <w:pPr>
              <w:jc w:val="right"/>
              <w:ind w:right="752"/>
              <w:spacing w:after="0"/>
              <w:rPr>
                <w:sz w:val="20"/>
                <w:szCs w:val="20"/>
                <w:color w:val="auto"/>
              </w:rPr>
            </w:pPr>
            <w:r>
              <w:rPr>
                <w:rFonts w:ascii="Times New Roman" w:cs="Times New Roman" w:eastAsia="Times New Roman" w:hAnsi="Times New Roman"/>
                <w:sz w:val="14"/>
                <w:szCs w:val="14"/>
                <w:color w:val="auto"/>
              </w:rPr>
              <w:t>41</w:t>
            </w: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12 %</w:t>
            </w:r>
          </w:p>
        </w:tc>
        <w:tc>
          <w:tcPr>
            <w:tcW w:w="124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26</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11 %</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4 %</w:t>
            </w: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84"/>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Fungicides</w:t>
            </w:r>
          </w:p>
        </w:tc>
        <w:tc>
          <w:tcPr>
            <w:tcW w:w="6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30</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10 %</w:t>
            </w:r>
          </w:p>
        </w:tc>
        <w:tc>
          <w:tcPr>
            <w:tcW w:w="12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3 %</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8 %</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79"/>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Biologicals</w:t>
            </w:r>
          </w:p>
        </w:tc>
        <w:tc>
          <w:tcPr>
            <w:tcW w:w="600" w:type="dxa"/>
            <w:vAlign w:val="bottom"/>
          </w:tcPr>
          <w:p>
            <w:pPr>
              <w:spacing w:after="0"/>
              <w:rPr>
                <w:sz w:val="15"/>
                <w:szCs w:val="15"/>
                <w:color w:val="auto"/>
              </w:rPr>
            </w:pPr>
          </w:p>
        </w:tc>
        <w:tc>
          <w:tcPr>
            <w:tcW w:w="1240" w:type="dxa"/>
            <w:vAlign w:val="bottom"/>
            <w:gridSpan w:val="2"/>
          </w:tcPr>
          <w:p>
            <w:pPr>
              <w:jc w:val="right"/>
              <w:ind w:right="712"/>
              <w:spacing w:after="0"/>
              <w:rPr>
                <w:sz w:val="20"/>
                <w:szCs w:val="20"/>
                <w:color w:val="auto"/>
              </w:rPr>
            </w:pPr>
            <w:r>
              <w:rPr>
                <w:rFonts w:ascii="Times New Roman" w:cs="Times New Roman" w:eastAsia="Times New Roman" w:hAnsi="Times New Roman"/>
                <w:sz w:val="14"/>
                <w:szCs w:val="14"/>
                <w:color w:val="auto"/>
              </w:rPr>
              <w:t>(14)</w:t>
            </w:r>
          </w:p>
        </w:tc>
        <w:tc>
          <w:tcPr>
            <w:tcW w:w="1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(17)%</w:t>
            </w:r>
          </w:p>
        </w:tc>
        <w:tc>
          <w:tcPr>
            <w:tcW w:w="124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(18)</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(4)%</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(17)%</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4 %</w:t>
            </w: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84"/>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6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(52)</w:t>
            </w:r>
          </w:p>
        </w:tc>
        <w:tc>
          <w:tcPr>
            <w:tcW w:w="1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(41)%</w:t>
            </w:r>
          </w:p>
        </w:tc>
        <w:tc>
          <w:tcPr>
            <w:tcW w:w="124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(48)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(36)%</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67"/>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752"/>
              <w:spacing w:after="0"/>
              <w:rPr>
                <w:sz w:val="20"/>
                <w:szCs w:val="20"/>
                <w:color w:val="auto"/>
              </w:rPr>
            </w:pPr>
            <w:r>
              <w:rPr>
                <w:rFonts w:ascii="Times New Roman" w:cs="Times New Roman" w:eastAsia="Times New Roman" w:hAnsi="Times New Roman"/>
                <w:sz w:val="14"/>
                <w:szCs w:val="14"/>
                <w:color w:val="auto"/>
              </w:rPr>
              <w:t>172</w:t>
            </w: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10 % $</w:t>
            </w:r>
          </w:p>
        </w:tc>
        <w:tc>
          <w:tcPr>
            <w:tcW w:w="124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76</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6 %</w:t>
            </w: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00" w:hanging="274"/>
        <w:spacing w:after="0"/>
        <w:tabs>
          <w:tab w:leader="none" w:pos="4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Organic sales is defined as price and volume and excludes currency and portfolio and other impacts, including significant items.</w:t>
      </w:r>
    </w:p>
    <w:p>
      <w:pPr>
        <w:sectPr>
          <w:pgSz w:w="11900" w:h="16838" w:orient="portrait"/>
          <w:cols w:equalWidth="0" w:num="1">
            <w:col w:w="11160"/>
          </w:cols>
          <w:pgMar w:left="320" w:top="125" w:right="41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A-8</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 Items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SIGNIFICANT ITEMS BY SEGMENT (PRE-TAX)</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gridSpan w:val="5"/>
          </w:tcPr>
          <w:p>
            <w:pPr>
              <w:jc w:val="center"/>
              <w:ind w:right="40"/>
              <w:spacing w:after="0" w:line="121"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Seed</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9"/>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Crop Protection</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1"/>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5"/>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 significant items before income taxes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2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4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SIGNIFICANT ITEMS - PRE-TAX, AFTER TAX, AND EPS IMPACTS</w:t>
            </w: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30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2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560"/>
              <w:spacing w:after="0" w:line="172" w:lineRule="exact"/>
              <w:rPr>
                <w:sz w:val="20"/>
                <w:szCs w:val="20"/>
                <w:color w:val="auto"/>
              </w:rPr>
            </w:pPr>
            <w:r>
              <w:rPr>
                <w:rFonts w:ascii="Times New Roman" w:cs="Times New Roman" w:eastAsia="Times New Roman" w:hAnsi="Times New Roman"/>
                <w:sz w:val="14"/>
                <w:szCs w:val="14"/>
                <w:b w:val="1"/>
                <w:bCs w:val="1"/>
                <w:color w:val="auto"/>
              </w:rPr>
              <w:t xml:space="preserve">After tax </w:t>
            </w:r>
            <w:r>
              <w:rPr>
                <w:rFonts w:ascii="Times New Roman" w:cs="Times New Roman" w:eastAsia="Times New Roman" w:hAnsi="Times New Roman"/>
                <w:sz w:val="17"/>
                <w:szCs w:val="17"/>
                <w:color w:val="auto"/>
                <w:vertAlign w:val="superscript"/>
              </w:rPr>
              <w:t>5</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Per Share)</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136"/>
        </w:trPr>
        <w:tc>
          <w:tcPr>
            <w:tcW w:w="6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95"/>
              </w:rPr>
              <w:t>1st Quarter</w:t>
            </w:r>
          </w:p>
        </w:tc>
        <w:tc>
          <w:tcPr>
            <w:tcW w:w="368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4"/>
                <w:szCs w:val="14"/>
                <w:color w:val="auto"/>
              </w:rPr>
              <w:t xml:space="preserve">Restructuring and asset related charges - net </w:t>
            </w:r>
            <w:r>
              <w:rPr>
                <w:rFonts w:ascii="Times New Roman" w:cs="Times New Roman" w:eastAsia="Times New Roman" w:hAnsi="Times New Roman"/>
                <w:sz w:val="17"/>
                <w:szCs w:val="17"/>
                <w:color w:val="auto"/>
                <w:vertAlign w:val="superscript"/>
              </w:rPr>
              <w:t>1</w:t>
            </w:r>
          </w:p>
        </w:tc>
        <w:tc>
          <w:tcPr>
            <w:tcW w:w="6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4"/>
                <w:szCs w:val="14"/>
                <w:color w:val="auto"/>
                <w:w w:val="94"/>
              </w:rPr>
              <w:t>(22)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5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81"/>
        </w:trPr>
        <w:tc>
          <w:tcPr>
            <w:tcW w:w="4300" w:type="dxa"/>
            <w:vAlign w:val="bottom"/>
            <w:gridSpan w:val="4"/>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Litigation settlement </w:t>
            </w:r>
            <w:r>
              <w:rPr>
                <w:rFonts w:ascii="Times New Roman" w:cs="Times New Roman" w:eastAsia="Times New Roman" w:hAnsi="Times New Roman"/>
                <w:sz w:val="17"/>
                <w:szCs w:val="17"/>
                <w:color w:val="auto"/>
                <w:vertAlign w:val="superscript"/>
              </w:rPr>
              <w:t>2</w:t>
            </w:r>
          </w:p>
        </w:tc>
        <w:tc>
          <w:tcPr>
            <w:tcW w:w="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300" w:type="dxa"/>
            <w:vAlign w:val="bottom"/>
            <w:gridSpan w:val="4"/>
            <w:shd w:val="clear" w:color="auto" w:fill="CCEEFF"/>
          </w:tcPr>
          <w:p>
            <w:pPr>
              <w:ind w:left="100"/>
              <w:spacing w:after="0" w:line="193" w:lineRule="exact"/>
              <w:rPr>
                <w:sz w:val="20"/>
                <w:szCs w:val="20"/>
                <w:color w:val="auto"/>
              </w:rPr>
            </w:pPr>
            <w:r>
              <w:rPr>
                <w:rFonts w:ascii="Times New Roman" w:cs="Times New Roman" w:eastAsia="Times New Roman" w:hAnsi="Times New Roman"/>
                <w:sz w:val="14"/>
                <w:szCs w:val="14"/>
                <w:color w:val="auto"/>
              </w:rPr>
              <w:t xml:space="preserve">AltEn facility remediation charges </w:t>
            </w:r>
            <w:r>
              <w:rPr>
                <w:rFonts w:ascii="Times New Roman" w:cs="Times New Roman" w:eastAsia="Times New Roman" w:hAnsi="Times New Roman"/>
                <w:sz w:val="17"/>
                <w:szCs w:val="17"/>
                <w:color w:val="auto"/>
                <w:vertAlign w:val="superscript"/>
              </w:rPr>
              <w:t>3</w:t>
            </w:r>
          </w:p>
        </w:tc>
        <w:tc>
          <w:tcPr>
            <w:tcW w:w="6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4"/>
                <w:szCs w:val="14"/>
                <w:color w:val="auto"/>
                <w:w w:val="94"/>
              </w:rPr>
              <w:t>(37)</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gridSpan w:val="4"/>
          </w:tcPr>
          <w:p>
            <w:pPr>
              <w:ind w:left="100"/>
              <w:spacing w:after="0" w:line="193" w:lineRule="exact"/>
              <w:rPr>
                <w:sz w:val="20"/>
                <w:szCs w:val="20"/>
                <w:color w:val="auto"/>
              </w:rPr>
            </w:pPr>
            <w:r>
              <w:rPr>
                <w:rFonts w:ascii="Times New Roman" w:cs="Times New Roman" w:eastAsia="Times New Roman" w:hAnsi="Times New Roman"/>
                <w:sz w:val="14"/>
                <w:szCs w:val="14"/>
                <w:color w:val="auto"/>
              </w:rPr>
              <w:t xml:space="preserve">Income tax items </w:t>
            </w:r>
            <w:r>
              <w:rPr>
                <w:rFonts w:ascii="Times New Roman" w:cs="Times New Roman" w:eastAsia="Times New Roman" w:hAnsi="Times New Roman"/>
                <w:sz w:val="17"/>
                <w:szCs w:val="17"/>
                <w:color w:val="auto"/>
                <w:vertAlign w:val="superscript"/>
              </w:rPr>
              <w:t>4</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4"/>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1st Quarter </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Total</w:t>
            </w:r>
          </w:p>
        </w:tc>
        <w:tc>
          <w:tcPr>
            <w:tcW w:w="6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(177)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4"/>
                <w:szCs w:val="14"/>
                <w:color w:val="auto"/>
                <w:w w:val="94"/>
              </w:rPr>
              <w:t>(59)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340" w:hanging="281"/>
        <w:spacing w:after="0" w:line="270"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quarter 2026 and 2025 include restructuring and asset related benefits (charges) of $(92) and $(22), respectively. The first quarter 2026 charges primarily consist of ($78) related to the 2026 Restructuring Actions and ($14) related to the Crop Protection Operations Strategy Restructuring Program. The first quarter 2025 charges relate to the Crop Protection Operations Strategy Restructuring Program.</w:t>
      </w:r>
    </w:p>
    <w:p>
      <w:pPr>
        <w:spacing w:after="0" w:line="165" w:lineRule="exact"/>
        <w:rPr>
          <w:rFonts w:ascii="Times New Roman" w:cs="Times New Roman" w:eastAsia="Times New Roman" w:hAnsi="Times New Roman"/>
          <w:sz w:val="12"/>
          <w:szCs w:val="12"/>
          <w:color w:val="auto"/>
        </w:rPr>
      </w:pPr>
    </w:p>
    <w:p>
      <w:pPr>
        <w:ind w:left="340" w:hanging="281"/>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quarter 2026 includes a settlement charge associated with the Crop Protection loyalty program multi-district litigation plaintiffs.</w:t>
      </w:r>
    </w:p>
    <w:p>
      <w:pPr>
        <w:spacing w:after="0" w:line="190" w:lineRule="exact"/>
        <w:rPr>
          <w:rFonts w:ascii="Times New Roman" w:cs="Times New Roman" w:eastAsia="Times New Roman" w:hAnsi="Times New Roman"/>
          <w:sz w:val="12"/>
          <w:szCs w:val="12"/>
          <w:color w:val="auto"/>
        </w:rPr>
      </w:pPr>
    </w:p>
    <w:p>
      <w:pPr>
        <w:ind w:left="340" w:hanging="281"/>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quarter 2025 includes a charge relating to the increase in the remediation accrual at the AltEn facility consisting of Corteva's estimated voluntary contribution to the solid waste and wastewater remedial action plans.</w:t>
      </w:r>
    </w:p>
    <w:p>
      <w:pPr>
        <w:spacing w:after="0" w:line="201" w:lineRule="exact"/>
        <w:rPr>
          <w:rFonts w:ascii="Times New Roman" w:cs="Times New Roman" w:eastAsia="Times New Roman" w:hAnsi="Times New Roman"/>
          <w:sz w:val="12"/>
          <w:szCs w:val="12"/>
          <w:color w:val="auto"/>
        </w:rPr>
      </w:pPr>
    </w:p>
    <w:p>
      <w:pPr>
        <w:ind w:left="340" w:hanging="281"/>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quarter 2025 reflects a deferred tax benefit of $55 associated with a change in a legal entity's U.S. tax characterization.</w:t>
      </w:r>
    </w:p>
    <w:p>
      <w:pPr>
        <w:spacing w:after="0" w:line="201" w:lineRule="exact"/>
        <w:rPr>
          <w:rFonts w:ascii="Times New Roman" w:cs="Times New Roman" w:eastAsia="Times New Roman" w:hAnsi="Times New Roman"/>
          <w:sz w:val="12"/>
          <w:szCs w:val="12"/>
          <w:color w:val="auto"/>
        </w:rPr>
      </w:pPr>
    </w:p>
    <w:p>
      <w:pPr>
        <w:ind w:left="340" w:hanging="281"/>
        <w:spacing w:after="0" w:line="270"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specifically addressed in notes above, the income tax effect on significant items was calculated based upon the enacted tax laws and statutory income tax rates applicable in the tax jurisdiction(s) of the underlying non-GAAP adjustment.</w:t>
      </w:r>
    </w:p>
    <w:p>
      <w:pPr>
        <w:sectPr>
          <w:pgSz w:w="11900" w:h="16838" w:orient="portrait"/>
          <w:cols w:equalWidth="0" w:num="1">
            <w:col w:w="11260"/>
          </w:cols>
          <w:pgMar w:left="320" w:top="125" w:right="31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A-9</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Non-GAAP Measures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Earnings (Loss) Per Share (Non-GAAP)</w:t>
      </w:r>
    </w:p>
    <w:p>
      <w:pPr>
        <w:spacing w:after="0" w:line="69"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4"/>
          <w:szCs w:val="14"/>
          <w:color w:val="auto"/>
        </w:rPr>
        <w:t>Operating earnings (loss) per share is defined as earnings (loss) per common share from continuing operations – diluted, excluding the after-tax impact of significant items, the after-tax impact of separation costs, the after-tax impact of non-operating benefits (costs), the after-tax impact of amortization expense associated with intangible assets existing as of the Corteva Separation from DowDuPont, and the after-tax impact of net unrealized gain or loss from mark-to-market activity for certain foreign currency derivative instruments that do not qualify for hedge accounting.</w:t>
      </w:r>
    </w:p>
    <w:p>
      <w:pPr>
        <w:spacing w:after="0" w:line="22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8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0"/>
        </w:trPr>
        <w:tc>
          <w:tcPr>
            <w:tcW w:w="5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i w:val="1"/>
                <w:iCs w:val="1"/>
                <w:color w:val="auto"/>
              </w:rPr>
              <w:t>EPS (diluted)</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i w:val="1"/>
                <w:iCs w:val="1"/>
                <w:color w:val="auto"/>
              </w:rPr>
              <w:t>EPS (diluted)</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Income (loss) from continuing operations attributable to Corteva common stockholders (GAAP)</w:t>
            </w:r>
          </w:p>
        </w:tc>
        <w:tc>
          <w:tcPr>
            <w:tcW w:w="8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81"/>
        </w:trPr>
        <w:tc>
          <w:tcPr>
            <w:tcW w:w="562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Less: Non-operating benefits (costs), after tax </w:t>
            </w:r>
            <w:r>
              <w:rPr>
                <w:rFonts w:ascii="Times New Roman" w:cs="Times New Roman" w:eastAsia="Times New Roman" w:hAnsi="Times New Roman"/>
                <w:sz w:val="17"/>
                <w:szCs w:val="17"/>
                <w:color w:val="auto"/>
                <w:vertAlign w:val="superscript"/>
              </w:rPr>
              <w:t>1</w:t>
            </w: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Amortization of intangibles (existing as of Corteva Separation), after tax</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37"/>
        </w:trPr>
        <w:tc>
          <w:tcPr>
            <w:tcW w:w="56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Less: Mark-to-market gains (losses) on certain foreign currency contracts not designated as hedges,</w:t>
            </w:r>
          </w:p>
        </w:tc>
        <w:tc>
          <w:tcPr>
            <w:tcW w:w="8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7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after tax</w:t>
            </w:r>
          </w:p>
        </w:tc>
        <w:tc>
          <w:tcPr>
            <w:tcW w:w="8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Significant items benefit (charge), after tax</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Less: Separation costs, after tax</w:t>
            </w:r>
          </w:p>
        </w:tc>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4"/>
                <w:szCs w:val="14"/>
                <w:b w:val="1"/>
                <w:bCs w:val="1"/>
                <w:color w:val="auto"/>
              </w:rPr>
              <w:t xml:space="preserve">Operating Earnings (Loss) (Non-GAAP) </w:t>
            </w:r>
            <w:r>
              <w:rPr>
                <w:rFonts w:ascii="Times New Roman" w:cs="Times New Roman" w:eastAsia="Times New Roman" w:hAnsi="Times New Roman"/>
                <w:sz w:val="17"/>
                <w:szCs w:val="17"/>
                <w:b w:val="1"/>
                <w:bCs w:val="1"/>
                <w:color w:val="auto"/>
                <w:vertAlign w:val="superscript"/>
              </w:rPr>
              <w:t>2</w:t>
            </w:r>
          </w:p>
        </w:tc>
        <w:tc>
          <w:tcPr>
            <w:tcW w:w="82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left="340" w:hanging="281"/>
        <w:spacing w:after="0" w:line="273" w:lineRule="auto"/>
        <w:tabs>
          <w:tab w:leader="none" w:pos="3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Non-operating benefits (costs) consists of non-operating pension and other post-employment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w:t>
      </w:r>
    </w:p>
    <w:p>
      <w:pPr>
        <w:spacing w:after="0" w:line="4" w:lineRule="exact"/>
        <w:rPr>
          <w:rFonts w:ascii="Times New Roman" w:cs="Times New Roman" w:eastAsia="Times New Roman" w:hAnsi="Times New Roman"/>
          <w:sz w:val="12"/>
          <w:szCs w:val="12"/>
          <w:color w:val="auto"/>
        </w:rPr>
      </w:pPr>
    </w:p>
    <w:p>
      <w:pPr>
        <w:ind w:left="340" w:hanging="281"/>
        <w:spacing w:after="0"/>
        <w:tabs>
          <w:tab w:leader="none" w:pos="3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page A-10 for the Non-GAAP reconciliation of operating EBITDA to operating earnings (loss) per share.</w:t>
      </w:r>
    </w:p>
    <w:p>
      <w:pPr>
        <w:sectPr>
          <w:pgSz w:w="11900" w:h="16838" w:orient="portrait"/>
          <w:cols w:equalWidth="0" w:num="1">
            <w:col w:w="11260"/>
          </w:cols>
          <w:pgMar w:left="320" w:top="125" w:right="31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A-10</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Operating EBITDA to Operating Earnings (Loss) Per Share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EBITDA to Operating Earnings (Loss) Per Share</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8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4"/>
        </w:trPr>
        <w:tc>
          <w:tcPr>
            <w:tcW w:w="78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4"/>
                <w:szCs w:val="14"/>
                <w:b w:val="1"/>
                <w:bCs w:val="1"/>
                <w:color w:val="auto"/>
              </w:rPr>
              <w:t xml:space="preserve">Operating EBITDA (Non-GAAP) </w:t>
            </w:r>
            <w:r>
              <w:rPr>
                <w:rFonts w:ascii="Times New Roman" w:cs="Times New Roman" w:eastAsia="Times New Roman" w:hAnsi="Times New Roman"/>
                <w:sz w:val="17"/>
                <w:szCs w:val="17"/>
                <w:b w:val="1"/>
                <w:bCs w:val="1"/>
                <w:color w:val="auto"/>
                <w:vertAlign w:val="superscript"/>
              </w:rPr>
              <w:t>1</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1,438</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98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intangibles (post Corteva Separation)</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980" w:type="dxa"/>
            <w:vAlign w:val="bottom"/>
          </w:tcPr>
          <w:p>
            <w:pPr>
              <w:spacing w:after="0"/>
              <w:rPr>
                <w:sz w:val="15"/>
                <w:szCs w:val="15"/>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37"/>
        </w:trPr>
        <w:tc>
          <w:tcPr>
            <w:tcW w:w="78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(Provision for) benefit from income taxes on continuing operations before significant items, separation costs, non-operating benefits (costs),</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amortization of intangibles (existing as of Corteva Separation), mark-to-market gains (losses) on certain foreign currency contracts not</w:t>
            </w:r>
          </w:p>
        </w:tc>
        <w:tc>
          <w:tcPr>
            <w:tcW w:w="980" w:type="dxa"/>
            <w:vAlign w:val="bottom"/>
          </w:tcPr>
          <w:p>
            <w:pPr>
              <w:spacing w:after="0"/>
              <w:rPr>
                <w:sz w:val="11"/>
                <w:szCs w:val="11"/>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1"/>
        </w:trPr>
        <w:tc>
          <w:tcPr>
            <w:tcW w:w="78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designated as hedges, and exchange gains (losses) </w:t>
            </w: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b w:val="1"/>
                <w:bCs w:val="1"/>
                <w:color w:val="auto"/>
                <w:vertAlign w:val="superscript"/>
              </w:rPr>
              <w:t>1</w:t>
            </w:r>
          </w:p>
        </w:tc>
        <w:tc>
          <w:tcPr>
            <w:tcW w:w="9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Base income tax rate from continuing operations </w:t>
            </w: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7"/>
                <w:szCs w:val="17"/>
                <w:b w:val="1"/>
                <w:bCs w:val="1"/>
                <w:color w:val="auto"/>
                <w:vertAlign w:val="superscript"/>
              </w:rPr>
              <w:t>1</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81"/>
        </w:trPr>
        <w:tc>
          <w:tcPr>
            <w:tcW w:w="78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Exchange gains (losses), after tax </w:t>
            </w:r>
            <w:r>
              <w:rPr>
                <w:rFonts w:ascii="Times New Roman" w:cs="Times New Roman" w:eastAsia="Times New Roman" w:hAnsi="Times New Roman"/>
                <w:sz w:val="17"/>
                <w:szCs w:val="17"/>
                <w:color w:val="auto"/>
                <w:vertAlign w:val="superscript"/>
              </w:rPr>
              <w:t>2</w:t>
            </w:r>
          </w:p>
        </w:tc>
        <w:tc>
          <w:tcPr>
            <w:tcW w:w="98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7880" w:type="dxa"/>
            <w:vAlign w:val="bottom"/>
          </w:tcPr>
          <w:p>
            <w:pPr>
              <w:spacing w:after="0" w:line="172" w:lineRule="exact"/>
              <w:rPr>
                <w:sz w:val="20"/>
                <w:szCs w:val="20"/>
                <w:color w:val="auto"/>
              </w:rPr>
            </w:pPr>
            <w:r>
              <w:rPr>
                <w:rFonts w:ascii="Times New Roman" w:cs="Times New Roman" w:eastAsia="Times New Roman" w:hAnsi="Times New Roman"/>
                <w:sz w:val="14"/>
                <w:szCs w:val="14"/>
                <w:b w:val="1"/>
                <w:bCs w:val="1"/>
                <w:color w:val="auto"/>
              </w:rPr>
              <w:t xml:space="preserve">Operating Earnings (Loss) (Non-GAAP) </w:t>
            </w:r>
            <w:r>
              <w:rPr>
                <w:rFonts w:ascii="Times New Roman" w:cs="Times New Roman" w:eastAsia="Times New Roman" w:hAnsi="Times New Roman"/>
                <w:sz w:val="17"/>
                <w:szCs w:val="17"/>
                <w:b w:val="1"/>
                <w:bCs w:val="1"/>
                <w:color w:val="auto"/>
                <w:vertAlign w:val="superscript"/>
              </w:rPr>
              <w:t>1</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1,009</w:t>
            </w:r>
          </w:p>
        </w:tc>
        <w:tc>
          <w:tcPr>
            <w:tcW w:w="200" w:type="dxa"/>
            <w:vAlign w:val="bottom"/>
          </w:tcPr>
          <w:p>
            <w:pPr>
              <w:spacing w:after="0"/>
              <w:rPr>
                <w:sz w:val="15"/>
                <w:szCs w:val="15"/>
                <w:color w:val="auto"/>
              </w:rPr>
            </w:pP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Shares (in millions)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673.6</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686.6</w:t>
            </w:r>
          </w:p>
        </w:tc>
        <w:tc>
          <w:tcPr>
            <w:tcW w:w="0" w:type="dxa"/>
            <w:vAlign w:val="bottom"/>
          </w:tcPr>
          <w:p>
            <w:pPr>
              <w:spacing w:after="0"/>
              <w:rPr>
                <w:sz w:val="1"/>
                <w:szCs w:val="1"/>
                <w:color w:val="auto"/>
              </w:rPr>
            </w:pPr>
          </w:p>
        </w:tc>
      </w:tr>
      <w:tr>
        <w:trPr>
          <w:trHeight w:val="235"/>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Earnings (Loss) Per Share (Non-GAAP) </w:t>
            </w:r>
            <w:r>
              <w:rPr>
                <w:rFonts w:ascii="Times New Roman" w:cs="Times New Roman" w:eastAsia="Times New Roman" w:hAnsi="Times New Roman"/>
                <w:sz w:val="17"/>
                <w:szCs w:val="17"/>
                <w:b w:val="1"/>
                <w:bCs w:val="1"/>
                <w:color w:val="auto"/>
                <w:vertAlign w:val="superscript"/>
              </w:rPr>
              <w:t>1</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tcPr>
          <w:p>
            <w:pPr>
              <w:spacing w:after="0"/>
              <w:rPr>
                <w:sz w:val="20"/>
                <w:szCs w:val="20"/>
                <w:color w:val="auto"/>
              </w:rPr>
            </w:pP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00" w:hanging="241"/>
        <w:spacing w:after="0"/>
        <w:tabs>
          <w:tab w:leader="none" w:pos="3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pages A-5 through A-7, A-9 and A-11 for Non-GAAP reconciliations.</w:t>
      </w:r>
    </w:p>
    <w:p>
      <w:pPr>
        <w:spacing w:after="0" w:line="11" w:lineRule="exact"/>
        <w:rPr>
          <w:rFonts w:ascii="Times New Roman" w:cs="Times New Roman" w:eastAsia="Times New Roman" w:hAnsi="Times New Roman"/>
          <w:sz w:val="12"/>
          <w:szCs w:val="12"/>
          <w:color w:val="auto"/>
        </w:rPr>
      </w:pPr>
    </w:p>
    <w:p>
      <w:pPr>
        <w:ind w:left="300" w:hanging="241"/>
        <w:spacing w:after="0"/>
        <w:tabs>
          <w:tab w:leader="none" w:pos="3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page A-12 for pre-tax and after tax impacts of exchange gains (losses).</w:t>
      </w:r>
    </w:p>
    <w:p>
      <w:pPr>
        <w:sectPr>
          <w:pgSz w:w="11900" w:h="16838" w:orient="portrait"/>
          <w:cols w:equalWidth="0" w:num="1">
            <w:col w:w="11260"/>
          </w:cols>
          <w:pgMar w:left="320" w:top="125" w:right="31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A-11</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Non-GAAP Measures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Base Income Tax Rate to Effective Income Tax Rate</w:t>
      </w:r>
    </w:p>
    <w:p>
      <w:pPr>
        <w:spacing w:after="0" w:line="24"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Base income tax rate is defined as the effective income tax rate less the effect of exchange gains (losses), significant items, separation costs, amortization of intangibles (existing as of Corteva Separation), mark-to-market (gains) losses on certain foreign currency contracts not designated as hedges, and non-operating (benefits) costs.</w:t>
      </w:r>
    </w:p>
    <w:p>
      <w:pPr>
        <w:spacing w:after="0" w:line="16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4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78"/>
        </w:trPr>
        <w:tc>
          <w:tcPr>
            <w:tcW w:w="830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Income (loss) from continuing operations before income taxes </w:t>
            </w:r>
            <w:r>
              <w:rPr>
                <w:rFonts w:ascii="Times New Roman" w:cs="Times New Roman" w:eastAsia="Times New Roman" w:hAnsi="Times New Roman"/>
                <w:sz w:val="14"/>
                <w:szCs w:val="14"/>
                <w:b w:val="1"/>
                <w:bCs w:val="1"/>
                <w:color w:val="auto"/>
              </w:rPr>
              <w:t>(GAAP)</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858</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81"/>
        </w:trPr>
        <w:tc>
          <w:tcPr>
            <w:tcW w:w="830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Add: Significant items (benefit) charge </w:t>
            </w:r>
            <w:r>
              <w:rPr>
                <w:rFonts w:ascii="Times New Roman" w:cs="Times New Roman" w:eastAsia="Times New Roman" w:hAnsi="Times New Roman"/>
                <w:sz w:val="17"/>
                <w:szCs w:val="17"/>
                <w:color w:val="auto"/>
                <w:vertAlign w:val="superscript"/>
              </w:rPr>
              <w:t>1</w:t>
            </w:r>
          </w:p>
        </w:tc>
        <w:tc>
          <w:tcPr>
            <w:tcW w:w="86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Separation costs</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Non-operating (benefits) costs</w:t>
            </w:r>
          </w:p>
        </w:tc>
        <w:tc>
          <w:tcPr>
            <w:tcW w:w="86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4"/>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intangibles (existing as of Corteva Separation)</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139</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79"/>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Mark-to-market (gains) losses on certain foreign currency contracts not designated as hedges</w:t>
            </w:r>
          </w:p>
        </w:tc>
        <w:tc>
          <w:tcPr>
            <w:tcW w:w="86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4"/>
        </w:trPr>
        <w:tc>
          <w:tcPr>
            <w:tcW w:w="830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4"/>
                <w:szCs w:val="14"/>
                <w:color w:val="auto"/>
              </w:rPr>
              <w:t xml:space="preserve">Less: Exchange gains (losses) </w:t>
            </w:r>
            <w:r>
              <w:rPr>
                <w:rFonts w:ascii="Times New Roman" w:cs="Times New Roman" w:eastAsia="Times New Roman" w:hAnsi="Times New Roman"/>
                <w:sz w:val="17"/>
                <w:szCs w:val="17"/>
                <w:color w:val="auto"/>
                <w:vertAlign w:val="superscript"/>
              </w:rPr>
              <w:t>2</w:t>
            </w: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17"/>
        </w:trPr>
        <w:tc>
          <w:tcPr>
            <w:tcW w:w="83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Income (loss) from continuing operations before income taxes, significant items, separation costs, non-operating (benefits) costs, amortization of</w:t>
            </w: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intangibles (existing as of Corteva Separation), mark-to-market (gains) losses on certain foreign currency contracts not designated as hedges, and</w:t>
            </w:r>
          </w:p>
        </w:tc>
        <w:tc>
          <w:tcPr>
            <w:tcW w:w="860" w:type="dxa"/>
            <w:vAlign w:val="bottom"/>
            <w:vMerge w:val="restart"/>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1,278</w:t>
            </w:r>
          </w:p>
        </w:tc>
        <w:tc>
          <w:tcPr>
            <w:tcW w:w="200" w:type="dxa"/>
            <w:vAlign w:val="bottom"/>
          </w:tcPr>
          <w:p>
            <w:pPr>
              <w:spacing w:after="0"/>
              <w:rPr>
                <w:sz w:val="11"/>
                <w:szCs w:val="11"/>
                <w:color w:val="auto"/>
              </w:rPr>
            </w:pPr>
          </w:p>
        </w:tc>
        <w:tc>
          <w:tcPr>
            <w:tcW w:w="3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64"/>
        </w:trPr>
        <w:tc>
          <w:tcPr>
            <w:tcW w:w="83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 xml:space="preserve">exchange gains (losses) </w:t>
            </w:r>
            <w:r>
              <w:rPr>
                <w:rFonts w:ascii="Times New Roman" w:cs="Times New Roman" w:eastAsia="Times New Roman" w:hAnsi="Times New Roman"/>
                <w:sz w:val="14"/>
                <w:szCs w:val="14"/>
                <w:b w:val="1"/>
                <w:bCs w:val="1"/>
                <w:color w:val="auto"/>
              </w:rPr>
              <w:t>(Non-GAAP)</w:t>
            </w:r>
          </w:p>
        </w:tc>
        <w:tc>
          <w:tcPr>
            <w:tcW w:w="86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Provision for (benefit from) income taxes on continuing operations </w:t>
            </w:r>
            <w:r>
              <w:rPr>
                <w:rFonts w:ascii="Times New Roman" w:cs="Times New Roman" w:eastAsia="Times New Roman" w:hAnsi="Times New Roman"/>
                <w:sz w:val="14"/>
                <w:szCs w:val="14"/>
                <w:b w:val="1"/>
                <w:bCs w:val="1"/>
                <w:color w:val="auto"/>
              </w:rPr>
              <w:t>(GAAP)</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82"/>
        </w:trPr>
        <w:tc>
          <w:tcPr>
            <w:tcW w:w="8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4"/>
                <w:szCs w:val="14"/>
                <w:color w:val="auto"/>
              </w:rPr>
              <w:t xml:space="preserve">Add: Tax (expenses) benefits on significant items (benefit) charge </w:t>
            </w:r>
            <w:r>
              <w:rPr>
                <w:rFonts w:ascii="Times New Roman" w:cs="Times New Roman" w:eastAsia="Times New Roman" w:hAnsi="Times New Roman"/>
                <w:sz w:val="17"/>
                <w:szCs w:val="17"/>
                <w:color w:val="auto"/>
                <w:vertAlign w:val="superscript"/>
              </w:rPr>
              <w:t>1</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9"/>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 benefits on separation costs</w:t>
            </w:r>
          </w:p>
        </w:tc>
        <w:tc>
          <w:tcPr>
            <w:tcW w:w="86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 (expenses) benefits on non-operating (benefits) costs</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9"/>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 benefits on amortization of intangibles (existing as of Corteva Separation)</w:t>
            </w:r>
          </w:p>
        </w:tc>
        <w:tc>
          <w:tcPr>
            <w:tcW w:w="86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4"/>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 (expenses) benefits on mark-to-market (gains) losses on certain foreign currency contracts not designated as hedges</w:t>
            </w:r>
          </w:p>
        </w:tc>
        <w:tc>
          <w:tcPr>
            <w:tcW w:w="8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tcPr>
          <w:p>
            <w:pPr>
              <w:ind w:left="340"/>
              <w:spacing w:after="0" w:line="181" w:lineRule="exact"/>
              <w:rPr>
                <w:sz w:val="20"/>
                <w:szCs w:val="20"/>
                <w:color w:val="auto"/>
              </w:rPr>
            </w:pPr>
            <w:r>
              <w:rPr>
                <w:rFonts w:ascii="Times New Roman" w:cs="Times New Roman" w:eastAsia="Times New Roman" w:hAnsi="Times New Roman"/>
                <w:sz w:val="14"/>
                <w:szCs w:val="14"/>
                <w:color w:val="auto"/>
              </w:rPr>
              <w:t xml:space="preserve">Tax (expenses) benefits on exchange gains (losses) </w:t>
            </w:r>
            <w:r>
              <w:rPr>
                <w:rFonts w:ascii="Times New Roman" w:cs="Times New Roman" w:eastAsia="Times New Roman" w:hAnsi="Times New Roman"/>
                <w:sz w:val="17"/>
                <w:szCs w:val="17"/>
                <w:color w:val="auto"/>
                <w:vertAlign w:val="superscript"/>
              </w:rPr>
              <w:t>2</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17"/>
        </w:trPr>
        <w:tc>
          <w:tcPr>
            <w:tcW w:w="83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Provision for (benefit from) income taxes on continuing operations before significant items, separation costs, non-operating (benefits) costs,</w:t>
            </w: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amortization of intangibles (existing as of Corteva Separation), mark-to-market (gains) losses on certain foreign currency contracts not designated</w:t>
            </w:r>
          </w:p>
        </w:tc>
        <w:tc>
          <w:tcPr>
            <w:tcW w:w="860" w:type="dxa"/>
            <w:vAlign w:val="bottom"/>
            <w:vMerge w:val="restart"/>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209</w:t>
            </w:r>
          </w:p>
        </w:tc>
        <w:tc>
          <w:tcPr>
            <w:tcW w:w="2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as hedges, and exchange gains (losses) </w:t>
            </w:r>
            <w:r>
              <w:rPr>
                <w:rFonts w:ascii="Times New Roman" w:cs="Times New Roman" w:eastAsia="Times New Roman" w:hAnsi="Times New Roman"/>
                <w:sz w:val="14"/>
                <w:szCs w:val="14"/>
                <w:b w:val="1"/>
                <w:bCs w:val="1"/>
                <w:color w:val="auto"/>
              </w:rPr>
              <w:t>(Non-GAAP)</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Effective income tax rate </w:t>
            </w:r>
            <w:r>
              <w:rPr>
                <w:rFonts w:ascii="Times New Roman" w:cs="Times New Roman" w:eastAsia="Times New Roman" w:hAnsi="Times New Roman"/>
                <w:sz w:val="14"/>
                <w:szCs w:val="14"/>
                <w:b w:val="1"/>
                <w:bCs w:val="1"/>
                <w:color w:val="auto"/>
              </w:rPr>
              <w:t>(GAAP)</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r>
        <w:trPr>
          <w:trHeight w:val="137"/>
        </w:trPr>
        <w:tc>
          <w:tcPr>
            <w:tcW w:w="83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Significant items, separation costs, non-operating (benefits) costs, amortization of intangibles (existing as of Corteva Separation), and mark-to-</w:t>
            </w:r>
          </w:p>
        </w:tc>
        <w:tc>
          <w:tcPr>
            <w:tcW w:w="8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78"/>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market (gains) losses on certain foreign currency contracts not designated as hedges effect</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8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Tax rate from continuing operations before significant items, separation costs, non-operating (benefits) costs, amortization of intangibles (existing</w:t>
            </w:r>
          </w:p>
        </w:tc>
        <w:tc>
          <w:tcPr>
            <w:tcW w:w="8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 of Corteva Separation), and mark-to-market (gains) losses on certain foreign currency contracts not designated as hedges</w:t>
            </w:r>
          </w:p>
        </w:tc>
        <w:tc>
          <w:tcPr>
            <w:tcW w:w="8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Exchange gains (losses), net effect </w:t>
            </w:r>
            <w:r>
              <w:rPr>
                <w:rFonts w:ascii="Times New Roman" w:cs="Times New Roman" w:eastAsia="Times New Roman" w:hAnsi="Times New Roman"/>
                <w:sz w:val="17"/>
                <w:szCs w:val="17"/>
                <w:color w:val="auto"/>
                <w:vertAlign w:val="superscript"/>
              </w:rPr>
              <w:t>2</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Base income tax rate from continuing operations </w:t>
            </w:r>
            <w:r>
              <w:rPr>
                <w:rFonts w:ascii="Times New Roman" w:cs="Times New Roman" w:eastAsia="Times New Roman" w:hAnsi="Times New Roman"/>
                <w:sz w:val="14"/>
                <w:szCs w:val="14"/>
                <w:b w:val="1"/>
                <w:bCs w:val="1"/>
                <w:color w:val="auto"/>
              </w:rPr>
              <w:t>(Non-GAAP)</w:t>
            </w:r>
          </w:p>
        </w:tc>
        <w:tc>
          <w:tcPr>
            <w:tcW w:w="8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ind w:left="340" w:hanging="281"/>
        <w:spacing w:after="0"/>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page A-8 for further detail on the significant items table.</w:t>
      </w:r>
    </w:p>
    <w:p>
      <w:pPr>
        <w:spacing w:after="0" w:line="11" w:lineRule="exact"/>
        <w:rPr>
          <w:rFonts w:ascii="Times New Roman" w:cs="Times New Roman" w:eastAsia="Times New Roman" w:hAnsi="Times New Roman"/>
          <w:sz w:val="12"/>
          <w:szCs w:val="12"/>
          <w:color w:val="auto"/>
        </w:rPr>
      </w:pPr>
    </w:p>
    <w:p>
      <w:pPr>
        <w:ind w:left="340" w:hanging="281"/>
        <w:spacing w:after="0"/>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page A-12 for further details of exchange gains (losses).</w:t>
      </w:r>
    </w:p>
    <w:p>
      <w:pPr>
        <w:sectPr>
          <w:pgSz w:w="11900" w:h="16838" w:orient="portrait"/>
          <w:cols w:equalWidth="0" w:num="1">
            <w:col w:w="11260"/>
          </w:cols>
          <w:pgMar w:left="320" w:top="12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A-12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Corteva, Inc.</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Gains/Losses</w:t>
      </w:r>
    </w:p>
    <w:p>
      <w:pPr>
        <w:spacing w:after="0" w:line="3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4"/>
          <w:szCs w:val="14"/>
          <w:color w:val="auto"/>
        </w:rPr>
        <w:t>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United States (U.S.),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Consolidated Statements of Operations.</w:t>
      </w:r>
    </w:p>
    <w:p>
      <w:pPr>
        <w:spacing w:after="0" w:line="18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78"/>
        </w:trPr>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4"/>
        </w:trPr>
        <w:tc>
          <w:tcPr>
            <w:tcW w:w="2460" w:type="dxa"/>
            <w:vAlign w:val="bottom"/>
            <w:tcBorders>
              <w:bottom w:val="single" w:sz="8" w:color="auto"/>
            </w:tcBorders>
            <w:gridSpan w:val="3"/>
          </w:tcPr>
          <w:p>
            <w:pPr>
              <w:spacing w:after="0" w:line="127" w:lineRule="exact"/>
              <w:rPr>
                <w:sz w:val="20"/>
                <w:szCs w:val="20"/>
                <w:color w:val="auto"/>
              </w:rPr>
            </w:pPr>
            <w:r>
              <w:rPr>
                <w:rFonts w:ascii="Times New Roman" w:cs="Times New Roman" w:eastAsia="Times New Roman" w:hAnsi="Times New Roman"/>
                <w:sz w:val="14"/>
                <w:szCs w:val="14"/>
                <w:b w:val="1"/>
                <w:bCs w:val="1"/>
                <w:color w:val="auto"/>
                <w:w w:val="96"/>
              </w:rPr>
              <w:t>Subsidiary Monetary Position Gain (Loss)</w:t>
            </w:r>
          </w:p>
        </w:tc>
        <w:tc>
          <w:tcPr>
            <w:tcW w:w="6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exchange gain (loss)</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Local tax (expenses) benefits</w:t>
            </w: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0"/>
        </w:trPr>
        <w:tc>
          <w:tcPr>
            <w:tcW w:w="84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after-tax impact from subsidiary exchange gain (loss)</w:t>
            </w: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Hedging Program Gain (Loss)</w:t>
            </w:r>
          </w:p>
        </w:tc>
        <w:tc>
          <w:tcPr>
            <w:tcW w:w="67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60" w:type="dxa"/>
            <w:vAlign w:val="bottom"/>
            <w:tcBorders>
              <w:bottom w:val="single" w:sz="8" w:color="auto"/>
            </w:tcBorders>
            <w:gridSpan w:val="2"/>
            <w:vMerge w:val="continue"/>
          </w:tcPr>
          <w:p>
            <w:pPr>
              <w:spacing w:after="0"/>
              <w:rPr>
                <w:sz w:val="15"/>
                <w:szCs w:val="15"/>
                <w:color w:val="auto"/>
              </w:rPr>
            </w:pPr>
          </w:p>
        </w:tc>
        <w:tc>
          <w:tcPr>
            <w:tcW w:w="67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exchange gain (loss)</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Tax (expenses) benefits</w:t>
            </w: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84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after-tax impact from hedging program exchange gain (loss)</w:t>
            </w: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Total Exchange Gain (Loss)</w:t>
            </w:r>
          </w:p>
        </w:tc>
        <w:tc>
          <w:tcPr>
            <w:tcW w:w="686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tcBorders>
              <w:bottom w:val="single" w:sz="8" w:color="auto"/>
            </w:tcBorders>
            <w:vMerge w:val="continue"/>
          </w:tcPr>
          <w:p>
            <w:pPr>
              <w:spacing w:after="0"/>
              <w:rPr>
                <w:sz w:val="15"/>
                <w:szCs w:val="15"/>
                <w:color w:val="auto"/>
              </w:rPr>
            </w:pPr>
          </w:p>
        </w:tc>
        <w:tc>
          <w:tcPr>
            <w:tcW w:w="686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exchange gain (loss)</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Tax (expenses) benefits</w:t>
            </w: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7"/>
        </w:trPr>
        <w:tc>
          <w:tcPr>
            <w:tcW w:w="8480" w:type="dxa"/>
            <w:vAlign w:val="bottom"/>
            <w:tcBorders>
              <w:bottom w:val="single" w:sz="8" w:color="CCEEFF"/>
            </w:tcBorders>
            <w:gridSpan w:val="4"/>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after-tax exchange gain (loss)</w:t>
            </w:r>
          </w:p>
        </w:tc>
        <w:tc>
          <w:tcPr>
            <w:tcW w:w="880" w:type="dxa"/>
            <w:vAlign w:val="bottom"/>
            <w:tcBorders>
              <w:bottom w:val="single" w:sz="8" w:color="auto"/>
            </w:tcBorders>
            <w:shd w:val="clear" w:color="auto" w:fill="CCEEFF"/>
          </w:tcPr>
          <w:p>
            <w:pPr>
              <w:jc w:val="right"/>
              <w:ind w:right="7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(57)</w:t>
            </w: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shown above, the "Total Exchange Gain (Loss)" is the sum of the "Subsidiary Monetary Position Gain (Loss)" and the "Hedging Program Gain (Loss)."</w:t>
      </w:r>
    </w:p>
    <w:sectPr>
      <w:pgSz w:w="11900" w:h="16838" w:orient="portrait"/>
      <w:cols w:equalWidth="0" w:num="1">
        <w:col w:w="11260"/>
      </w:cols>
      <w:pgMar w:left="32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2026-05-05T15:48:00Z</dcterms:created>
  <dcterms:modified xsi:type="dcterms:W3CDTF">2026-05-05T15:48:00Z</dcterms:modified>
</cp:coreProperties>
</file>