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4225d8k.htm"/>
      <w:bookmarkStart w:id="1" w:name="ksd14422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SECURITIES AND EXCHA</w:t>
      </w:r>
    </w:p>
    <w:p>
      <w:pPr>
        <w:pStyle w:val="TextBody"/>
        <w:bidi w:val="0"/>
        <w:spacing w:before="80" w:after="0"/>
        <w:jc w:val="center"/>
        <w:rPr>
          <w:rFonts w:ascii="Times New Roman" w:hAnsi="Times New Roman"/>
          <w:b/>
          <w:spacing w:val="0"/>
          <w:sz w:val="36"/>
        </w:rPr>
      </w:pPr>
      <w:r>
        <w:rPr>
          <w:rFonts w:ascii="Times New Roman" w:hAnsi="Times New Roman"/>
          <w:b/>
          <w:spacing w:val="0"/>
          <w:sz w:val="36"/>
        </w:rPr>
        <w:t>N</w:t>
      </w:r>
    </w:p>
    <w:p>
      <w:pPr>
        <w:pStyle w:val="TextBody"/>
        <w:bidi w:val="0"/>
        <w:spacing w:before="80" w:after="0"/>
        <w:jc w:val="center"/>
        <w:rPr>
          <w:rFonts w:ascii="Times New Roman" w:hAnsi="Times New Roman"/>
          <w:b/>
          <w:sz w:val="36"/>
        </w:rPr>
      </w:pPr>
      <w:r>
        <w:rPr>
          <w:rFonts w:ascii="Times New Roman" w:hAnsi="Times New Roman"/>
          <w:b/>
          <w:sz w:val="36"/>
        </w:rPr>
        <w:t xml:space="preserve">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September 21,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15" w:type="dxa"/>
        <w:jc w:val="left"/>
        <w:tblInd w:w="0" w:type="dxa"/>
        <w:tblLayout w:type="fixed"/>
        <w:tblCellMar>
          <w:top w:w="0" w:type="dxa"/>
          <w:left w:w="0" w:type="dxa"/>
          <w:bottom w:w="0" w:type="dxa"/>
          <w:right w:w="0" w:type="dxa"/>
        </w:tblCellMar>
      </w:tblPr>
      <w:tblGrid>
        <w:gridCol w:w="2060"/>
        <w:gridCol w:w="60"/>
        <w:gridCol w:w="1055"/>
        <w:gridCol w:w="60"/>
        <w:gridCol w:w="188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001-38710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82-4979096</w:t>
            </w:r>
          </w:p>
        </w:tc>
      </w:tr>
      <w:tr>
        <w:trPr/>
        <w:tc>
          <w:tcPr>
            <w:tcW w:w="206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001-00815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51-0014090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4565"/>
        <w:gridCol w:w="60"/>
        <w:gridCol w:w="1145"/>
      </w:tblGrid>
      <w:tr>
        <w:trPr/>
        <w:tc>
          <w:tcPr>
            <w:tcW w:w="4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9330 Zionsville Road, Indianapolis, Indiana</w:t>
            </w:r>
          </w:p>
          <w:p>
            <w:pPr>
              <w:pStyle w:val="TableContents"/>
              <w:bidi w:val="0"/>
              <w:spacing w:before="0" w:after="20"/>
              <w:jc w:val="center"/>
              <w:rPr>
                <w:rFonts w:ascii="Times New Roman" w:hAnsi="Times New Roman"/>
                <w:b/>
                <w:sz w:val="20"/>
              </w:rPr>
            </w:pPr>
            <w:r>
              <w:rPr>
                <w:rFonts w:ascii="Times New Roman" w:hAnsi="Times New Roman"/>
                <w:b/>
                <w:sz w:val="20"/>
              </w:rPr>
              <w:t>1000 N. West Street, Suite 900, Wilmington,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46268</w:t>
            </w:r>
          </w:p>
          <w:p>
            <w:pPr>
              <w:pStyle w:val="TableContents"/>
              <w:bidi w:val="0"/>
              <w:spacing w:before="0" w:after="20"/>
              <w:jc w:val="center"/>
              <w:rPr>
                <w:rFonts w:ascii="Times New Roman" w:hAnsi="Times New Roman"/>
                <w:b/>
                <w:sz w:val="20"/>
              </w:rPr>
            </w:pPr>
            <w:r>
              <w:rPr>
                <w:rFonts w:ascii="Times New Roman" w:hAnsi="Times New Roman"/>
                <w:b/>
                <w:sz w:val="20"/>
              </w:rPr>
              <w:t>19801</w:t>
            </w:r>
          </w:p>
        </w:tc>
      </w:tr>
      <w:tr>
        <w:trPr/>
        <w:tc>
          <w:tcPr>
            <w:tcW w:w="456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(833) 267-8382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240.14a-12)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240.14d-2(b))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1265"/>
        <w:gridCol w:w="60"/>
        <w:gridCol w:w="3095"/>
        <w:gridCol w:w="60"/>
        <w:gridCol w:w="905"/>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$4.50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21, 2026, Vylor, Inc., a subsidiary of Corteva, Inc. (“Corteva” or the “Company”) filed its Amendment No. 3 to the Registration Statement on Form 10 (File No. 001-43376) with the U.S. Securities and Exchange Commission in connection with Corteva’s previously announced plans of a separation of Corteva into two independent, publicly traded companies through the separation of Corteva’s seed operating segment into an independent, publicly traded company, Vylor Inc. (“Vylor”). The filing provides detailed information on Vylor’s business, strategy and historical financial results. The Registration Statement on Form 10 is available at www.sec.gov under “Vylor Inc.” and on Corteva’s investor relations website, investors.corteva.com under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on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Current Report on Form 8-K, including the information furnished pursuant to Item 8.01 and Item 9.01 hereto, contains certain forward-looking statements. Words such as “believe,” “will,” “plan,” “may,” “expect,” “see,” and variations of such words and similar future or conditional expressions are intended to identify forward-looking statements. Examples of forward-looking statements include, but are not limited to, Corteva’s intent to separate and its related expectations for Corteva and Vylor. These forward-looking statements reflect management’s current expectations and are not guarantees of future performance and are subject to a number of risks and uncertainties, many of which are difficult to predict and beyond Corteva’s and Vylor’s control. Important factors that may affect Corteva’s or Vylor’s respective businesses and operations and that may cause actual results to differ materially from those in the forward-looking statements include, but are not limited to, whether the objectives of the separation will be achieved; the terms, structure, benefits and costs of any action or transaction resulting from the separation; the timing of any such separation or related action and whether any such separation will be consummated at all; the risk that the announcement of the intended separation could have an adverse effect on the ability of Corteva or Vylor to retain and hire key personnel and maintain relationships with customers, suppliers, employees, shareholders and other business relationships and on its operating results and business generally; the risk the separation could divert the attention and time of each company’s management; the risk of any unexpected costs or expenses resulting from the separation process or separation itself; and the risk of any litigation relating to the separation, as well as the risks and uncertainties described in Corteva’s and Vylor’s risk factors, as they may be amended from time to time, set forth in their respective filings with the U.S. Securities and Exchange Commission. Corteva and Vylor disclaim and do not undertake any obligation to update, revise, or withdraw any forward-looking statement in this press release, except as required by applicable law or regulation.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836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528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CORTEVA,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Name: 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Title: Executive Vice President, Chief Financial Officer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EIDP,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Name: 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Title: Executive Vice President,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863</Words>
  <Characters>4928</Characters>
  <CharactersWithSpaces>5798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