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6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9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8, 2023</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Corteva, Inc.</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4"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24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001-38710</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82-4979096</w:t>
            </w:r>
          </w:p>
        </w:tc>
      </w:tr>
      <w:tr>
        <w:trPr>
          <w:trHeight w:val="229"/>
        </w:trPr>
        <w:tc>
          <w:tcPr>
            <w:tcW w:w="2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of Incorporation)</w:t>
            </w:r>
          </w:p>
        </w:tc>
        <w:tc>
          <w:tcPr>
            <w:tcW w:w="4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91"/>
        </w:trPr>
        <w:tc>
          <w:tcPr>
            <w:tcW w:w="2400" w:type="dxa"/>
            <w:vAlign w:val="bottom"/>
          </w:tcPr>
          <w:p>
            <w:pPr>
              <w:spacing w:after="0"/>
              <w:rPr>
                <w:sz w:val="24"/>
                <w:szCs w:val="24"/>
                <w:color w:val="auto"/>
              </w:rPr>
            </w:pPr>
          </w:p>
        </w:tc>
        <w:tc>
          <w:tcPr>
            <w:tcW w:w="4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9330 Zionsville Road,</w:t>
            </w:r>
          </w:p>
        </w:tc>
        <w:tc>
          <w:tcPr>
            <w:tcW w:w="1980" w:type="dxa"/>
            <w:vAlign w:val="bottom"/>
          </w:tcPr>
          <w:p>
            <w:pPr>
              <w:spacing w:after="0"/>
              <w:rPr>
                <w:sz w:val="24"/>
                <w:szCs w:val="24"/>
                <w:color w:val="auto"/>
              </w:rPr>
            </w:pPr>
          </w:p>
        </w:tc>
      </w:tr>
      <w:tr>
        <w:trPr>
          <w:trHeight w:val="216"/>
        </w:trPr>
        <w:tc>
          <w:tcPr>
            <w:tcW w:w="2400" w:type="dxa"/>
            <w:vAlign w:val="bottom"/>
          </w:tcPr>
          <w:p>
            <w:pPr>
              <w:spacing w:after="0"/>
              <w:rPr>
                <w:sz w:val="18"/>
                <w:szCs w:val="18"/>
                <w:color w:val="auto"/>
              </w:rPr>
            </w:pPr>
          </w:p>
        </w:tc>
        <w:tc>
          <w:tcPr>
            <w:tcW w:w="4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Indianapolis, Indiana 46268</w:t>
            </w:r>
          </w:p>
        </w:tc>
        <w:tc>
          <w:tcPr>
            <w:tcW w:w="198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4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1000 N. West Street, Suite 900,</w:t>
            </w:r>
          </w:p>
        </w:tc>
        <w:tc>
          <w:tcPr>
            <w:tcW w:w="1980" w:type="dxa"/>
            <w:vAlign w:val="bottom"/>
          </w:tcPr>
          <w:p>
            <w:pPr>
              <w:spacing w:after="0"/>
              <w:rPr>
                <w:sz w:val="18"/>
                <w:szCs w:val="18"/>
                <w:color w:val="auto"/>
              </w:rPr>
            </w:pPr>
          </w:p>
        </w:tc>
      </w:tr>
      <w:tr>
        <w:trPr>
          <w:trHeight w:val="220"/>
        </w:trPr>
        <w:tc>
          <w:tcPr>
            <w:tcW w:w="2400" w:type="dxa"/>
            <w:vAlign w:val="bottom"/>
          </w:tcPr>
          <w:p>
            <w:pPr>
              <w:spacing w:after="0"/>
              <w:rPr>
                <w:sz w:val="19"/>
                <w:szCs w:val="19"/>
                <w:color w:val="auto"/>
              </w:rPr>
            </w:pPr>
          </w:p>
        </w:tc>
        <w:tc>
          <w:tcPr>
            <w:tcW w:w="4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Wilmington, Delaware 19801</w:t>
            </w:r>
          </w:p>
        </w:tc>
        <w:tc>
          <w:tcPr>
            <w:tcW w:w="1980" w:type="dxa"/>
            <w:vAlign w:val="bottom"/>
          </w:tcPr>
          <w:p>
            <w:pPr>
              <w:spacing w:after="0"/>
              <w:rPr>
                <w:sz w:val="19"/>
                <w:szCs w:val="19"/>
                <w:color w:val="auto"/>
              </w:rPr>
            </w:pPr>
          </w:p>
        </w:tc>
      </w:tr>
      <w:tr>
        <w:trPr>
          <w:trHeight w:val="234"/>
        </w:trPr>
        <w:tc>
          <w:tcPr>
            <w:tcW w:w="2400" w:type="dxa"/>
            <w:vAlign w:val="bottom"/>
          </w:tcPr>
          <w:p>
            <w:pPr>
              <w:spacing w:after="0"/>
              <w:rPr>
                <w:sz w:val="20"/>
                <w:szCs w:val="20"/>
                <w:color w:val="auto"/>
              </w:rPr>
            </w:pPr>
          </w:p>
        </w:tc>
        <w:tc>
          <w:tcPr>
            <w:tcW w:w="4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980" w:type="dxa"/>
            <w:vAlign w:val="bottom"/>
          </w:tcPr>
          <w:p>
            <w:pPr>
              <w:spacing w:after="0"/>
              <w:rPr>
                <w:sz w:val="20"/>
                <w:szCs w:val="20"/>
                <w:color w:val="auto"/>
              </w:rPr>
            </w:pPr>
          </w:p>
        </w:tc>
      </w:tr>
      <w:tr>
        <w:trPr>
          <w:trHeight w:val="373"/>
        </w:trPr>
        <w:tc>
          <w:tcPr>
            <w:tcW w:w="240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(833) 267-8382</w:t>
            </w:r>
          </w:p>
        </w:tc>
        <w:tc>
          <w:tcPr>
            <w:tcW w:w="1980" w:type="dxa"/>
            <w:vAlign w:val="bottom"/>
          </w:tcPr>
          <w:p>
            <w:pPr>
              <w:spacing w:after="0"/>
              <w:rPr>
                <w:sz w:val="24"/>
                <w:szCs w:val="24"/>
                <w:color w:val="auto"/>
              </w:rPr>
            </w:pPr>
          </w:p>
        </w:tc>
      </w:tr>
      <w:tr>
        <w:trPr>
          <w:trHeight w:val="234"/>
        </w:trPr>
        <w:tc>
          <w:tcPr>
            <w:tcW w:w="2400" w:type="dxa"/>
            <w:vAlign w:val="bottom"/>
          </w:tcPr>
          <w:p>
            <w:pPr>
              <w:spacing w:after="0"/>
              <w:rPr>
                <w:sz w:val="20"/>
                <w:szCs w:val="20"/>
                <w:color w:val="auto"/>
              </w:rPr>
            </w:pPr>
          </w:p>
        </w:tc>
        <w:tc>
          <w:tcPr>
            <w:tcW w:w="4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8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1020" w:type="dxa"/>
        <w:tblCellMar>
          <w:top w:w="0" w:type="dxa"/>
          <w:left w:w="0" w:type="dxa"/>
          <w:bottom w:w="0" w:type="dxa"/>
          <w:right w:w="0" w:type="dxa"/>
        </w:tblCellMar>
      </w:tblPr>
      <w:tr>
        <w:trPr>
          <w:trHeight w:val="184"/>
        </w:trPr>
        <w:tc>
          <w:tcPr>
            <w:tcW w:w="2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60" w:type="dxa"/>
            <w:vAlign w:val="bottom"/>
            <w:vMerge w:val="restart"/>
          </w:tcPr>
          <w:p>
            <w:pPr>
              <w:spacing w:after="0"/>
              <w:rPr>
                <w:sz w:val="16"/>
                <w:szCs w:val="16"/>
                <w:color w:val="auto"/>
              </w:rPr>
            </w:pPr>
          </w:p>
        </w:tc>
        <w:tc>
          <w:tcPr>
            <w:tcW w:w="2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80" w:type="dxa"/>
            <w:vAlign w:val="bottom"/>
            <w:vMerge w:val="restart"/>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c>
          <w:tcPr>
            <w:tcW w:w="0" w:type="dxa"/>
            <w:vAlign w:val="bottom"/>
          </w:tcPr>
          <w:p>
            <w:pPr>
              <w:spacing w:after="0"/>
              <w:rPr>
                <w:sz w:val="1"/>
                <w:szCs w:val="1"/>
                <w:color w:val="auto"/>
              </w:rPr>
            </w:pPr>
          </w:p>
        </w:tc>
      </w:tr>
      <w:tr>
        <w:trPr>
          <w:trHeight w:val="214"/>
        </w:trPr>
        <w:tc>
          <w:tcPr>
            <w:tcW w:w="296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96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0" w:type="dxa"/>
            <w:vAlign w:val="bottom"/>
          </w:tcPr>
          <w:p>
            <w:pPr>
              <w:spacing w:after="0"/>
              <w:rPr>
                <w:sz w:val="1"/>
                <w:szCs w:val="1"/>
                <w:color w:val="auto"/>
              </w:rPr>
            </w:pPr>
          </w:p>
        </w:tc>
      </w:tr>
      <w:tr>
        <w:trPr>
          <w:trHeight w:val="232"/>
        </w:trPr>
        <w:tc>
          <w:tcPr>
            <w:tcW w:w="3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3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CTVA</w:t>
            </w: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c>
          <w:tcPr>
            <w:tcW w:w="0" w:type="dxa"/>
            <w:vAlign w:val="bottom"/>
          </w:tcPr>
          <w:p>
            <w:pPr>
              <w:spacing w:after="0"/>
              <w:rPr>
                <w:sz w:val="1"/>
                <w:szCs w:val="1"/>
                <w:color w:val="auto"/>
              </w:rPr>
            </w:pPr>
          </w:p>
        </w:tc>
      </w:tr>
    </w:tbl>
    <w:p>
      <w:pPr>
        <w:spacing w:after="0" w:line="31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253"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Explanatory Note</w:t>
      </w:r>
    </w:p>
    <w:p>
      <w:pPr>
        <w:spacing w:after="0" w:line="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In a Current Report filed on SEC Form 8-K on November 8, 2023, Corteva, Inc. initially announced in Items 2.05 and 2.06 of that report its Crop Protection Operation Strategy Restructuring Program (the “Initial Report”). This amendment to the Initial Report updates Items 2.05 and 2.06 of the Initial Report to reflect the current status of the Crop Protection Operations Strategy Restructuring Program.</w:t>
      </w: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2.05</w:t>
        <w:tab/>
        <w:t>Costs Associated with Exit or Disposal Activities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Corteva, Inc. (the “Company”) has been executing a multi-year footprint optimization and productivity initiative designed to enhance efficiency and reduce structural costs across its global operations (the "Crop Protection Operations Strategy Restructuring Program"). The Company previously communicated its expectation for annualized cost savings associated with this initiative which, coupled with other productivity actions, were included in the target of $300 million total run-rate productivity by 2027 communicated at the Company’s November 2024 investor day.</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12, 2026, the Company disclosed that its management recently committed to the next phase of the plan to further optimize its Crop Protection network of manufacturing and external partners to include the intended cessation of the Company’s production activities at its site in Asturias, Spain. The intended cessation is subject to a consultation process with the applicable works council and union representatives at the facility. Also, management has revised its previous estimates associated with the Company’s exit of its Pittsburg, California production activities.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now expects to record aggregate pre-tax restructuring and asset related charges of $750 million to $815 million, which represents an aggregate increase of $100 million to $115 million, with the aggregate amounts comprised of $100 million to $125 million of severance and related benefit costs, $350 million to $372 million of asset-related and impairment charges and $300 million to $318 million of costs related to exiting the Company’s production activities and ceasing operations (inclusive of contract terminations and decommissioning and demolition costs). Decommissioning and demolition costs will be expensed on an as-incurred basis. Reductions in workforce are subject to local regulatory requirements.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payments related to these charges are anticipated to be $400 million to $443 million in aggregate, which primarily relate to decommissioning and demolition, contract terminations, and the payment of severance and related benefits. The restructuring actions associated with these charges are expected to be substantially complete by the end of 2028.</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actions by the Company or changes in circumstances from current assumptions, including negotiations with local works council, may cause actual results and future cash payments to differ. In addition, conditions for the sale of land at the Company’s Pittsburg, California site have been agreed, subject to completion of due diligence.</w:t>
      </w:r>
    </w:p>
    <w:p>
      <w:pPr>
        <w:spacing w:after="0" w:line="2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2.06</w:t>
        <w:tab/>
        <w:t>Material Impairments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Item 2.05 are incorporated by reference into this Item 2.06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About Forward-Looking Statements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report contains certain estimates and forward-looking statements within the meaning of Section 21E of the Securities Exchange Act of 1934, as amended, and Section 27A of the Securities Act of 1933, as amended, which are intended to be covered by the safe harbor provisions for forward-looking statements contained in the Private Securities Litigation Reform Act of 1995, and may be identified by their use of words like “plans,” “expects,” “will,” “anticipates,” “believes,” “intends,” “projects,” “estimates,” “may,” or other words of similar meaning. All statements that address expectations or projections about the future, including statements about Corteva’s financial results; consultations with works council; the anticipated benefits and costs of restructuring actions or cost savings initiatives; the anticipated benefits, impacts, and timing of Corteva’s proposed separation of its seed and crop protection businesses; and the outcome of contingencies, such as litigation and environmental matters, are forward-looking statements.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Forward-looking statements and other estimates are based on certain assumptions and expectations of future events which may not be accurate or realized. Forward-looking statements and other estimates also involve risks and uncertainties, many of which are beyond the Company's control. While the list of factors presented below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the Company's business, results of operations and financial condition. Some of the important factors that could cause the Company's actual results to differ materially from those projected in any such forward-looking statements include: (i)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both"/>
        <w:spacing w:after="0" w:line="235" w:lineRule="auto"/>
        <w:rPr>
          <w:sz w:val="20"/>
          <w:szCs w:val="20"/>
          <w:color w:val="auto"/>
        </w:rPr>
      </w:pPr>
      <w:r>
        <w:rPr>
          <w:rFonts w:ascii="Times New Roman" w:cs="Times New Roman" w:eastAsia="Times New Roman" w:hAnsi="Times New Roman"/>
          <w:sz w:val="18"/>
          <w:szCs w:val="18"/>
          <w:color w:val="auto"/>
        </w:rPr>
        <w:t>obtain or maintain the necessary regulatory approvals for some of the Company's products; (ii) failure to successfully develop and commercialize the Company's pipeline; (iii) effect of the degree of public understanding and acceptance or perceived public acceptance of the Company's biotechnology and other agricultural products; (iv) failure to comply with competition and antitrust laws; (v) effect of changes in agricultural and related policies of governments and international organizations; (vi) costs of complying with evolving regulatory requirements and the effect of actual or alleged violations of environmental laws or permit requirements; (vii) effect of climate change and unpredictable seasonal and weather factors; (viii) effect of competition in the Company's industry; (ix) competitor’s establishment of an intermediary platform for distribution of the Company's products; (x) risks related to recent funding and staff reductions at U.S. government agencies; (xi) risk related to geopolitical and military conflict; (xii) effect of volatility in the Company's input costs; (xiii) risks related to the Company's global operations; (xiv) effect of industrial espionage and other disruptions to the Company's supply chain, information technology or network systems; (xv) risks related to environmental litigation and the indemnification obligations of legacy EIDP liabilities in connection with the Corteva Separation; (xvi) impact of the Company's dependence on third parties with respect to certain of its raw materials or licenses and commercialization; (xvii) failure of the Company's customers to pay their debts to the Company, including customer financing programs; (xviii) failure to effectively manage acquisitions, divestitures, alliances, restructurings, cost savings initiatives, and other portfolio actions; (xix) failure to raise capital through the capital markets or short-term borrowings on terms acceptable to the Company; (xx) increases in pension and other post-employment benefit plan funding obligations; (xxi) risks related to pandemics or epidemics; (xxii) capital markets sentiment towards sustainability matters; (xxiii) the Company's intellectual property rights or defense against intellectual property claims asserted by others; (xxiv) effect of counterfeit products; (xxv) the Company's dependence on intellectual property cross-license agreements; and (xxvi) risks related to Corteva’s Separation from DowDuPont; and (xxvii) risks related to Corteva’s Proposed Separation, including, but not limited to, whether the objectives of the proposed separation will be achieved; the terms, structure, benefits and costs of any action or transaction resulting from the proposed separation; the timing of any such separation or related action and whether any such separation will be consummated at all; the risk that the proposed separation could divert the attention and time of the Company’s management; the risk of any unexpected costs or expenses resulting from the proposed separation process or separation itself; and the risk of any litigation as a result of, or relating to, Corteva’s proposed separation of its seed and crop protection businesses.</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Additionally, there may be other risks and uncertainties that Corteva is unable to currently identify or that Corteva does not currently expect to have a material impact on its business. Where, in any forward-looking statement or other estimate, an expectation or belief as to future results or events is expressed, such expectation or belief is based on the current plans and expectations of Corteva’s management and expressed in good faith and believed to have a reasonable basis, but there can be no assurance that the expectation or belief will result or be achieved or accomplished. Corteva disclaims and does not undertake any obligation to update or revise any forward-looking statement, except as required by applicable law. A detailed discussion of some of the significant risks and uncertainties which may cause results and events to differ materially from such forward-looking statements is included in the “Risk Factors” section of Corteva’s 2025 Annual Report, as modified by subsequent Quarterly Reports on Form 10-Q and Current Reports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544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Corteva, Inc.</w:t>
            </w:r>
          </w:p>
        </w:tc>
      </w:tr>
      <w:tr>
        <w:trPr>
          <w:trHeight w:val="234"/>
        </w:trPr>
        <w:tc>
          <w:tcPr>
            <w:tcW w:w="50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88"/>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Brian Titus</w:t>
            </w:r>
          </w:p>
        </w:tc>
      </w:tr>
      <w:tr>
        <w:trPr>
          <w:trHeight w:val="218"/>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Name:</w:t>
            </w: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Titus</w:t>
            </w:r>
          </w:p>
        </w:tc>
      </w:tr>
      <w:tr>
        <w:trPr>
          <w:trHeight w:val="23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and Controller</w:t>
            </w: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sectPr>
      <w:pgSz w:w="11900" w:h="16838" w:orient="portrait"/>
      <w:cols w:equalWidth="0" w:num="1">
        <w:col w:w="11200"/>
      </w:cols>
      <w:pgMar w:left="320" w:top="8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2026-06-12T16:35:28Z</dcterms:created>
  <dcterms:modified xsi:type="dcterms:W3CDTF">2026-06-12T16:35:28Z</dcterms:modified>
</cp:coreProperties>
</file>